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8FFE" w14:textId="6CDDC589" w:rsidR="00305523" w:rsidRDefault="007C7B00" w:rsidP="00305523">
      <w:pPr>
        <w:pStyle w:val="Heading1"/>
        <w:jc w:val="center"/>
      </w:pPr>
      <w:r w:rsidRPr="003C337D">
        <w:rPr>
          <w:b/>
          <w:bCs/>
        </w:rPr>
        <w:t>Data Into Action</w:t>
      </w:r>
      <w:r w:rsidR="005C5B0F">
        <w:t xml:space="preserve">: </w:t>
      </w:r>
      <w:r w:rsidR="005C5B0F" w:rsidRPr="005C5B0F">
        <w:t>Data Led Models</w:t>
      </w:r>
      <w:r w:rsidR="005C5B0F">
        <w:t>,</w:t>
      </w:r>
      <w:r w:rsidR="005C5B0F" w:rsidRPr="005C5B0F">
        <w:t xml:space="preserve"> Support Document</w:t>
      </w:r>
    </w:p>
    <w:p w14:paraId="0401C5AA" w14:textId="77777777" w:rsidR="00305523" w:rsidRPr="00305523" w:rsidRDefault="00000000" w:rsidP="00305523">
      <w:r>
        <w:pict w14:anchorId="3DB377E4">
          <v:rect id="_x0000_i1025" style="width:0;height:1.5pt" o:hralign="center" o:hrstd="t" o:hr="t" fillcolor="#a0a0a0" stroked="f"/>
        </w:pict>
      </w:r>
    </w:p>
    <w:p w14:paraId="5308BBAF" w14:textId="77777777" w:rsidR="00305523" w:rsidRPr="00305523" w:rsidRDefault="00305523" w:rsidP="00305523">
      <w:pPr>
        <w:pStyle w:val="Heading2"/>
      </w:pPr>
      <w:r w:rsidRPr="00305523">
        <w:t>1. Introduction</w:t>
      </w:r>
    </w:p>
    <w:p w14:paraId="111519DE" w14:textId="32E40FEC" w:rsidR="00305523" w:rsidRPr="00305523" w:rsidRDefault="00305523" w:rsidP="00305523">
      <w:pPr>
        <w:jc w:val="both"/>
      </w:pPr>
      <w:r w:rsidRPr="00305523">
        <w:t xml:space="preserve">This guide outlines a comprehensive plan for the successful rollout and implementation of </w:t>
      </w:r>
      <w:r w:rsidR="007C7B00">
        <w:t>data led and risk stratified models of care</w:t>
      </w:r>
      <w:r w:rsidR="00ED5E83">
        <w:t xml:space="preserve"> </w:t>
      </w:r>
      <w:r w:rsidRPr="00305523">
        <w:t xml:space="preserve">across local services. It is intended for programme leads, operational teams, </w:t>
      </w:r>
      <w:r w:rsidR="0070478A">
        <w:t xml:space="preserve">clinicians, </w:t>
      </w:r>
      <w:r w:rsidRPr="00305523">
        <w:t xml:space="preserve">analysts, and all stakeholders involved in the adoption and use of </w:t>
      </w:r>
      <w:r w:rsidR="003C337D">
        <w:t>linked data</w:t>
      </w:r>
      <w:r>
        <w:t xml:space="preserve"> tool</w:t>
      </w:r>
      <w:r w:rsidR="003C337D">
        <w:t>s</w:t>
      </w:r>
      <w:r w:rsidR="269DAF62">
        <w:t xml:space="preserve"> at Place level</w:t>
      </w:r>
      <w:r>
        <w:t>.</w:t>
      </w:r>
    </w:p>
    <w:p w14:paraId="36A9C84E" w14:textId="16C36767" w:rsidR="00305523" w:rsidRPr="00305523" w:rsidRDefault="735356BE" w:rsidP="0D5A100E">
      <w:pPr>
        <w:jc w:val="both"/>
      </w:pPr>
      <w:r>
        <w:t>This document is intended as guidance for the processes outlined, however the Data Into Action programme does not act as a governor for any of the proposals submitted to the programme for</w:t>
      </w:r>
      <w:r w:rsidR="002092B3">
        <w:t xml:space="preserve"> approval. The role of the Data Into Action Programme is to process approvals for data access.</w:t>
      </w:r>
    </w:p>
    <w:p w14:paraId="75492BE0" w14:textId="3A33C23C" w:rsidR="00305523" w:rsidRPr="00305523" w:rsidRDefault="43584044" w:rsidP="00305523">
      <w:pPr>
        <w:jc w:val="both"/>
      </w:pPr>
      <w:r>
        <w:t xml:space="preserve">Requesters should contact the Data Into Action via </w:t>
      </w:r>
      <w:hyperlink r:id="rId10" w:history="1">
        <w:r w:rsidRPr="0D5A100E">
          <w:rPr>
            <w:rStyle w:val="Hyperlink"/>
          </w:rPr>
          <w:t>dataintoaction@cheshireandmerseyside.nhs.uk</w:t>
        </w:r>
      </w:hyperlink>
      <w:r>
        <w:t xml:space="preserve"> for access to all documents referred to in th</w:t>
      </w:r>
      <w:r w:rsidR="2C02048D">
        <w:t xml:space="preserve">is guidance. </w:t>
      </w:r>
      <w:r w:rsidR="00305523" w:rsidRPr="00305523">
        <w:t xml:space="preserve">This document covers the end-to-end rollout process, from </w:t>
      </w:r>
      <w:r w:rsidR="00305523" w:rsidRPr="00E32575">
        <w:t xml:space="preserve">onboarding and training to governance and ongoing support, including the pathway for accessing </w:t>
      </w:r>
      <w:r w:rsidR="00C86752">
        <w:t xml:space="preserve">both </w:t>
      </w:r>
      <w:r w:rsidR="00305523" w:rsidRPr="00E32575">
        <w:t>Personal</w:t>
      </w:r>
      <w:r w:rsidR="00C86752">
        <w:t>ly</w:t>
      </w:r>
      <w:r w:rsidR="00305523" w:rsidRPr="00E32575">
        <w:t xml:space="preserve"> Identifiable Data (PID)</w:t>
      </w:r>
      <w:r w:rsidR="00C86752">
        <w:t xml:space="preserve"> and de-identified data</w:t>
      </w:r>
      <w:r w:rsidR="007F08D5">
        <w:t xml:space="preserve">.  </w:t>
      </w:r>
      <w:r w:rsidR="00305523" w:rsidRPr="00E32575">
        <w:t>The</w:t>
      </w:r>
      <w:r w:rsidR="00305523" w:rsidRPr="00305523">
        <w:t xml:space="preserve"> guide is based on lessons learned from our rollout</w:t>
      </w:r>
      <w:r w:rsidR="00A47219">
        <w:t xml:space="preserve"> to some areas</w:t>
      </w:r>
      <w:r w:rsidR="00305523" w:rsidRPr="00305523">
        <w:t xml:space="preserve"> </w:t>
      </w:r>
      <w:r w:rsidR="007C7B00">
        <w:t>across Cheshire and Merseyside</w:t>
      </w:r>
      <w:r w:rsidR="00ED5E83">
        <w:t xml:space="preserve"> </w:t>
      </w:r>
      <w:r w:rsidR="00305523" w:rsidRPr="00305523">
        <w:t>and is designed to be practical, adaptable, and replicable.</w:t>
      </w:r>
    </w:p>
    <w:p w14:paraId="1360FF8D" w14:textId="02251F7F" w:rsidR="00305523" w:rsidRPr="00AD3C5E" w:rsidRDefault="00000000" w:rsidP="00305523">
      <w:pPr>
        <w:rPr>
          <w:rStyle w:val="Heading2Char"/>
        </w:rPr>
      </w:pPr>
      <w:r>
        <w:pict w14:anchorId="290B388D">
          <v:rect id="_x0000_i1026" style="width:0;height:1.5pt" o:hralign="center" o:hrstd="t" o:hr="t" fillcolor="#a0a0a0" stroked="f"/>
        </w:pict>
      </w:r>
      <w:r w:rsidR="00305523" w:rsidRPr="00AD3C5E">
        <w:rPr>
          <w:rStyle w:val="Heading2Char"/>
        </w:rPr>
        <w:t>2. Project Overview</w:t>
      </w:r>
    </w:p>
    <w:p w14:paraId="2E175455" w14:textId="18DE0CEF" w:rsidR="00BC04FA" w:rsidRDefault="00665921" w:rsidP="00305523">
      <w:pPr>
        <w:jc w:val="both"/>
      </w:pPr>
      <w:r w:rsidRPr="00665921">
        <w:t xml:space="preserve">The rollout of risk-stratified, data-led models of care is a key priority for Cheshire &amp; Merseyside ICB, </w:t>
      </w:r>
      <w:r w:rsidR="007F08D5">
        <w:t xml:space="preserve">as </w:t>
      </w:r>
      <w:r w:rsidRPr="00665921">
        <w:t>with programmes such as Data Into Action already well-established and</w:t>
      </w:r>
      <w:r w:rsidR="00C86752">
        <w:t xml:space="preserve"> working with ICB functions such as Business Intelligence and the Population Health team to help</w:t>
      </w:r>
      <w:r w:rsidRPr="00665921">
        <w:t xml:space="preserve"> shape national direction</w:t>
      </w:r>
      <w:r w:rsidR="00CC0DCC">
        <w:t xml:space="preserve">, </w:t>
      </w:r>
      <w:r w:rsidRPr="00665921">
        <w:t>a position further reinforced by the latest Neighbourhood Health guidance.</w:t>
      </w:r>
      <w:r>
        <w:t xml:space="preserve"> </w:t>
      </w:r>
      <w:r w:rsidR="006954CE">
        <w:t xml:space="preserve">System data can act as a catalyst </w:t>
      </w:r>
      <w:r w:rsidR="004263CC">
        <w:t>for greater clarity, alignment and impact of models of care</w:t>
      </w:r>
      <w:r w:rsidR="008E0DD5">
        <w:t xml:space="preserve">, but this does require co-ordination and management to </w:t>
      </w:r>
      <w:r w:rsidR="003F6817">
        <w:t>mobilise</w:t>
      </w:r>
      <w:r w:rsidR="00A47219">
        <w:t xml:space="preserve"> safe</w:t>
      </w:r>
      <w:r>
        <w:t>l</w:t>
      </w:r>
      <w:r w:rsidR="00A47219">
        <w:t>y and</w:t>
      </w:r>
      <w:r w:rsidR="003F6817">
        <w:t xml:space="preserve"> effectively.</w:t>
      </w:r>
      <w:r w:rsidR="007F08D5">
        <w:t xml:space="preserve">  Many</w:t>
      </w:r>
      <w:r w:rsidR="007F08D5" w:rsidRPr="00305523">
        <w:t xml:space="preserve"> services </w:t>
      </w:r>
      <w:r w:rsidR="007F08D5">
        <w:t>have now adopted data led models</w:t>
      </w:r>
      <w:r w:rsidR="007F08D5" w:rsidRPr="00305523">
        <w:t xml:space="preserve">, with additional services developing proposals to use the </w:t>
      </w:r>
      <w:r w:rsidR="007F08D5">
        <w:t>dashboards available</w:t>
      </w:r>
      <w:r w:rsidR="007F08D5" w:rsidRPr="00305523">
        <w:t xml:space="preserve">. </w:t>
      </w:r>
      <w:r w:rsidR="003F6817">
        <w:t xml:space="preserve"> </w:t>
      </w:r>
      <w:r w:rsidR="00305523" w:rsidRPr="00305523">
        <w:t xml:space="preserve">This </w:t>
      </w:r>
      <w:r w:rsidR="00EE5CFC">
        <w:t xml:space="preserve">document aims to help with that process and includes </w:t>
      </w:r>
      <w:r w:rsidR="00330750">
        <w:t>core topics</w:t>
      </w:r>
      <w:r w:rsidR="007F08D5">
        <w:t xml:space="preserve"> around data access and how to get help</w:t>
      </w:r>
      <w:r w:rsidR="00ED268F">
        <w:t>.  This is an iterative process, and we intend to build upon these resources over time</w:t>
      </w:r>
      <w:r w:rsidR="00BC04FA">
        <w:t>.</w:t>
      </w:r>
    </w:p>
    <w:p w14:paraId="13265F3E" w14:textId="34DBF936" w:rsidR="00305523" w:rsidRPr="00416D8E" w:rsidRDefault="00305523" w:rsidP="0D5A100E">
      <w:pPr>
        <w:pStyle w:val="Heading3"/>
      </w:pPr>
      <w:r>
        <w:t>Governance and Oversight</w:t>
      </w:r>
    </w:p>
    <w:p w14:paraId="422081F9" w14:textId="0AF28135" w:rsidR="00305523" w:rsidRDefault="000B6E5B" w:rsidP="00305523">
      <w:pPr>
        <w:jc w:val="both"/>
      </w:pPr>
      <w:r>
        <w:t xml:space="preserve">It is recommended to </w:t>
      </w:r>
      <w:r w:rsidR="0009387A">
        <w:t>establish or repurpose existing local</w:t>
      </w:r>
      <w:r>
        <w:t xml:space="preserve"> governance to p</w:t>
      </w:r>
      <w:r w:rsidR="00305523" w:rsidRPr="00305523">
        <w:t>rovide strategic direction and oversight</w:t>
      </w:r>
      <w:r w:rsidR="0009387A">
        <w:t xml:space="preserve"> of all proactive work.  </w:t>
      </w:r>
      <w:r w:rsidR="007F2FD1">
        <w:t xml:space="preserve">An example terms of reference for a </w:t>
      </w:r>
      <w:r w:rsidR="00EA7495">
        <w:t>Population Health Management Group (</w:t>
      </w:r>
      <w:r w:rsidR="007F2FD1">
        <w:t>Proactive Care</w:t>
      </w:r>
      <w:r w:rsidR="00EA7495">
        <w:t>)</w:t>
      </w:r>
      <w:r w:rsidR="007F2FD1">
        <w:t xml:space="preserve"> are included within this</w:t>
      </w:r>
      <w:r w:rsidR="00665921">
        <w:t xml:space="preserve"> blueprint. </w:t>
      </w:r>
      <w:r w:rsidR="00305523" w:rsidRPr="00305523">
        <w:t>This group</w:t>
      </w:r>
      <w:r w:rsidR="00A47219">
        <w:t>, once established would meet</w:t>
      </w:r>
      <w:r w:rsidR="00305523" w:rsidRPr="00305523">
        <w:t xml:space="preserve"> monthly, ensuring alignment with local health priorities and monitoring progress.</w:t>
      </w:r>
    </w:p>
    <w:p w14:paraId="506A1C9D" w14:textId="54C422DF" w:rsidR="00012488" w:rsidRPr="00305523" w:rsidRDefault="00B75861" w:rsidP="00305523">
      <w:pPr>
        <w:jc w:val="both"/>
      </w:pPr>
      <w:r>
        <w:t xml:space="preserve">It is suggested that this </w:t>
      </w:r>
      <w:r w:rsidR="00012488">
        <w:t xml:space="preserve">group is chaired by </w:t>
      </w:r>
      <w:r w:rsidR="003F4ABC">
        <w:t xml:space="preserve">the </w:t>
      </w:r>
      <w:r w:rsidR="00012488">
        <w:t>Place Clinical Director</w:t>
      </w:r>
      <w:r w:rsidR="0089789B">
        <w:t xml:space="preserve"> and involves representatives from primary care, </w:t>
      </w:r>
      <w:r w:rsidR="00CC0DCC">
        <w:t xml:space="preserve">relevant Community Providers / Mental Health Providers </w:t>
      </w:r>
      <w:r w:rsidR="0089789B">
        <w:t>are and the ICB</w:t>
      </w:r>
      <w:r w:rsidR="00CC0DCC">
        <w:t>.</w:t>
      </w:r>
    </w:p>
    <w:p w14:paraId="18294FE1" w14:textId="1AB7AB87" w:rsidR="007F08D5" w:rsidRPr="00305523" w:rsidRDefault="007F08D5" w:rsidP="0D5A100E">
      <w:pPr>
        <w:pStyle w:val="Heading3"/>
      </w:pPr>
      <w:r>
        <w:lastRenderedPageBreak/>
        <w:t>CIPHA Data and Dashboards</w:t>
      </w:r>
    </w:p>
    <w:p w14:paraId="4378BF00" w14:textId="22FB3077" w:rsidR="00BC04FA" w:rsidRDefault="00BC04FA" w:rsidP="00BC04FA">
      <w:pPr>
        <w:jc w:val="both"/>
      </w:pPr>
      <w:r w:rsidRPr="00305523">
        <w:t xml:space="preserve">The </w:t>
      </w:r>
      <w:r w:rsidRPr="00305523">
        <w:rPr>
          <w:b/>
          <w:bCs/>
        </w:rPr>
        <w:t xml:space="preserve">CIPHA (Combined Intelligence for Population Health Action) </w:t>
      </w:r>
      <w:r w:rsidRPr="00305523">
        <w:t xml:space="preserve">platform </w:t>
      </w:r>
      <w:r w:rsidR="00416D8E">
        <w:t>provides</w:t>
      </w:r>
      <w:r w:rsidRPr="00305523">
        <w:t xml:space="preserve"> secure access to linked health and care data. It supports proactive decision-making, better planning, early intervention, and targeted service delivery</w:t>
      </w:r>
      <w:r>
        <w:t xml:space="preserve">, </w:t>
      </w:r>
      <w:r w:rsidRPr="00305523">
        <w:t>particularly for high-risk populations and addressing health inequalities.</w:t>
      </w:r>
      <w:r>
        <w:t xml:space="preserve"> The data within CIPHA includes:</w:t>
      </w:r>
    </w:p>
    <w:p w14:paraId="0A4446E2" w14:textId="77777777" w:rsidR="00BC04FA" w:rsidRDefault="00BC04FA" w:rsidP="00BC04FA">
      <w:pPr>
        <w:pStyle w:val="ListParagraph"/>
        <w:numPr>
          <w:ilvl w:val="0"/>
          <w:numId w:val="28"/>
        </w:numPr>
        <w:jc w:val="both"/>
      </w:pPr>
      <w:r>
        <w:t>GP data including diagnosis, long-term conditions, personal data</w:t>
      </w:r>
    </w:p>
    <w:p w14:paraId="78600472" w14:textId="77777777" w:rsidR="00BC04FA" w:rsidRDefault="00BC04FA" w:rsidP="00BC04FA">
      <w:pPr>
        <w:pStyle w:val="ListParagraph"/>
        <w:numPr>
          <w:ilvl w:val="0"/>
          <w:numId w:val="28"/>
        </w:numPr>
        <w:jc w:val="both"/>
      </w:pPr>
      <w:r>
        <w:t>Community data</w:t>
      </w:r>
    </w:p>
    <w:p w14:paraId="16977A09" w14:textId="77777777" w:rsidR="00BC04FA" w:rsidRDefault="00BC04FA" w:rsidP="00BC04FA">
      <w:pPr>
        <w:pStyle w:val="ListParagraph"/>
        <w:numPr>
          <w:ilvl w:val="0"/>
          <w:numId w:val="28"/>
        </w:numPr>
        <w:jc w:val="both"/>
      </w:pPr>
      <w:r>
        <w:t>Mental health data</w:t>
      </w:r>
    </w:p>
    <w:p w14:paraId="4C315F0B" w14:textId="77777777" w:rsidR="00BC04FA" w:rsidRDefault="00BC04FA" w:rsidP="00BC04FA">
      <w:pPr>
        <w:pStyle w:val="ListParagraph"/>
        <w:numPr>
          <w:ilvl w:val="0"/>
          <w:numId w:val="28"/>
        </w:numPr>
        <w:jc w:val="both"/>
      </w:pPr>
      <w:r>
        <w:t xml:space="preserve">Acute data </w:t>
      </w:r>
    </w:p>
    <w:p w14:paraId="1D18168B" w14:textId="77777777" w:rsidR="00BC04FA" w:rsidRPr="00305523" w:rsidRDefault="00BC04FA" w:rsidP="00BC04FA">
      <w:pPr>
        <w:pStyle w:val="ListParagraph"/>
        <w:numPr>
          <w:ilvl w:val="0"/>
          <w:numId w:val="28"/>
        </w:numPr>
        <w:jc w:val="both"/>
      </w:pPr>
      <w:r>
        <w:t xml:space="preserve">Risk stratification algorithms using the Johns Hopkins model </w:t>
      </w:r>
    </w:p>
    <w:p w14:paraId="42760A32" w14:textId="76CBBA01" w:rsidR="00BC04FA" w:rsidRDefault="00BC04FA" w:rsidP="0D5A100E">
      <w:r>
        <w:t>This data is linked together to provide a set of insightful dashboards which can be used to identify patient</w:t>
      </w:r>
      <w:r w:rsidR="00416D8E">
        <w:t xml:space="preserve"> cohorts</w:t>
      </w:r>
      <w:r>
        <w:t xml:space="preserve">, trends and characteristics to support the identification, implementation and monitoring of a variety of care models.  These dashboards are available in both personally identifiable (PID) and </w:t>
      </w:r>
      <w:r w:rsidR="00416D8E">
        <w:t>non-personally</w:t>
      </w:r>
      <w:r>
        <w:t xml:space="preserve"> identifiable (“de-identified) versions</w:t>
      </w:r>
    </w:p>
    <w:p w14:paraId="360D65DF" w14:textId="768DFE93" w:rsidR="00BC04FA" w:rsidRDefault="00BC04FA" w:rsidP="0D5A100E">
      <w:pPr>
        <w:jc w:val="both"/>
      </w:pPr>
      <w:r>
        <w:t>The dashboards currently available include:</w:t>
      </w:r>
    </w:p>
    <w:p w14:paraId="0CB21F40" w14:textId="2D6B9DC3" w:rsidR="00990110" w:rsidRDefault="002336FA" w:rsidP="00305523">
      <w:pPr>
        <w:pStyle w:val="NoSpacing"/>
        <w:numPr>
          <w:ilvl w:val="0"/>
          <w:numId w:val="18"/>
        </w:numPr>
      </w:pPr>
      <w:r>
        <w:t>Enhanced Case Finding</w:t>
      </w:r>
    </w:p>
    <w:p w14:paraId="02F117DA" w14:textId="29221F88" w:rsidR="002336FA" w:rsidRDefault="002336FA" w:rsidP="00305523">
      <w:pPr>
        <w:pStyle w:val="NoSpacing"/>
        <w:numPr>
          <w:ilvl w:val="0"/>
          <w:numId w:val="18"/>
        </w:numPr>
      </w:pPr>
      <w:r>
        <w:t>Fuel Poverty</w:t>
      </w:r>
    </w:p>
    <w:p w14:paraId="2BED9B92" w14:textId="4F95083F" w:rsidR="00305523" w:rsidRDefault="00990110" w:rsidP="00305523">
      <w:pPr>
        <w:pStyle w:val="NoSpacing"/>
        <w:numPr>
          <w:ilvl w:val="0"/>
          <w:numId w:val="18"/>
        </w:numPr>
      </w:pPr>
      <w:r>
        <w:t>Complex Households</w:t>
      </w:r>
    </w:p>
    <w:p w14:paraId="403F1350" w14:textId="02A89BEC" w:rsidR="00E872FE" w:rsidRDefault="00E872FE" w:rsidP="00305523">
      <w:pPr>
        <w:pStyle w:val="NoSpacing"/>
        <w:numPr>
          <w:ilvl w:val="0"/>
          <w:numId w:val="18"/>
        </w:numPr>
      </w:pPr>
      <w:r>
        <w:t>Elective Recovery</w:t>
      </w:r>
    </w:p>
    <w:p w14:paraId="00BDB645" w14:textId="1103AC8C" w:rsidR="00B924F6" w:rsidRDefault="00B924F6" w:rsidP="00305523">
      <w:pPr>
        <w:pStyle w:val="NoSpacing"/>
        <w:numPr>
          <w:ilvl w:val="0"/>
          <w:numId w:val="18"/>
        </w:numPr>
      </w:pPr>
      <w:r>
        <w:t xml:space="preserve">Frailty </w:t>
      </w:r>
    </w:p>
    <w:p w14:paraId="180BCA1F" w14:textId="4E854D83" w:rsidR="00B924F6" w:rsidRDefault="00B924F6" w:rsidP="00305523">
      <w:pPr>
        <w:pStyle w:val="NoSpacing"/>
        <w:numPr>
          <w:ilvl w:val="0"/>
          <w:numId w:val="18"/>
        </w:numPr>
      </w:pPr>
      <w:r>
        <w:t xml:space="preserve">Diabetes </w:t>
      </w:r>
    </w:p>
    <w:p w14:paraId="16BAF503" w14:textId="11B83F87" w:rsidR="00B924F6" w:rsidRDefault="0051632D" w:rsidP="00305523">
      <w:pPr>
        <w:pStyle w:val="NoSpacing"/>
        <w:numPr>
          <w:ilvl w:val="0"/>
          <w:numId w:val="18"/>
        </w:numPr>
      </w:pPr>
      <w:r>
        <w:t xml:space="preserve">High Intensity Users </w:t>
      </w:r>
    </w:p>
    <w:p w14:paraId="652D665E" w14:textId="09D20C4A" w:rsidR="0051632D" w:rsidRPr="00305523" w:rsidRDefault="0051632D" w:rsidP="00305523">
      <w:pPr>
        <w:pStyle w:val="NoSpacing"/>
        <w:numPr>
          <w:ilvl w:val="0"/>
          <w:numId w:val="18"/>
        </w:numPr>
      </w:pPr>
      <w:r>
        <w:t>Serious Violence</w:t>
      </w:r>
      <w:r w:rsidR="00BC04FA">
        <w:t xml:space="preserve"> (available in de-identified version only)</w:t>
      </w:r>
    </w:p>
    <w:p w14:paraId="6DE450C5" w14:textId="77777777" w:rsidR="00305523" w:rsidRDefault="00305523" w:rsidP="00305523"/>
    <w:p w14:paraId="48D93DFB" w14:textId="408B2B1E" w:rsidR="00990110" w:rsidRPr="00305523" w:rsidRDefault="00335DFB" w:rsidP="00990110">
      <w:pPr>
        <w:jc w:val="both"/>
      </w:pPr>
      <w:r>
        <w:t>Some members of staff, such as commissioners and those not involved in direct pat</w:t>
      </w:r>
      <w:r w:rsidR="00BC04FA">
        <w:t>i</w:t>
      </w:r>
      <w:r>
        <w:t xml:space="preserve">ent care, will use the non-identifiable versions of these tools.  Those </w:t>
      </w:r>
      <w:r w:rsidR="00026643">
        <w:t xml:space="preserve">in </w:t>
      </w:r>
      <w:r w:rsidR="00D13EC7">
        <w:t>clinical</w:t>
      </w:r>
      <w:r w:rsidR="00026643">
        <w:t xml:space="preserve"> roles may need access to the identifiable version of these d</w:t>
      </w:r>
      <w:r w:rsidR="00D13EC7">
        <w:t xml:space="preserve">ashboards and are required to seek </w:t>
      </w:r>
      <w:r w:rsidR="00BC04FA">
        <w:t xml:space="preserve">approval </w:t>
      </w:r>
      <w:r w:rsidR="00D13EC7">
        <w:t xml:space="preserve">from the Data Access &amp; Asset Group </w:t>
      </w:r>
      <w:r w:rsidR="006F1A71">
        <w:t>in those cases.</w:t>
      </w:r>
    </w:p>
    <w:p w14:paraId="2D90E83A" w14:textId="77777777" w:rsidR="00C86752" w:rsidRPr="00305523" w:rsidRDefault="00C86752" w:rsidP="0D5A100E">
      <w:pPr>
        <w:pStyle w:val="Heading3"/>
      </w:pPr>
      <w:r w:rsidRPr="00305523">
        <w:t>Example Use Cases and Pilots</w:t>
      </w:r>
    </w:p>
    <w:p w14:paraId="2B29BE28" w14:textId="77777777" w:rsidR="00C86752" w:rsidRDefault="00C86752" w:rsidP="00C86752">
      <w:pPr>
        <w:numPr>
          <w:ilvl w:val="0"/>
          <w:numId w:val="2"/>
        </w:numPr>
      </w:pPr>
      <w:r w:rsidRPr="000A3F0D">
        <w:t>Telehealth: Targeting high-risk patients with COPD, heart failure, and diabetes.</w:t>
      </w:r>
    </w:p>
    <w:p w14:paraId="7B70CA23" w14:textId="77777777" w:rsidR="00C86752" w:rsidRPr="000A3F0D" w:rsidRDefault="00C86752" w:rsidP="00C86752">
      <w:pPr>
        <w:numPr>
          <w:ilvl w:val="0"/>
          <w:numId w:val="2"/>
        </w:numPr>
        <w:jc w:val="both"/>
      </w:pPr>
      <w:r w:rsidRPr="000A3F0D">
        <w:t>I</w:t>
      </w:r>
      <w:r>
        <w:t>ntegrated Care Neighbourhood Teams</w:t>
      </w:r>
      <w:r w:rsidRPr="000A3F0D">
        <w:t>: HIU Pilot, identifying high A&amp;E users for holistic assessments, revealing needs for more mental health support.</w:t>
      </w:r>
      <w:r>
        <w:t xml:space="preserve">  Frailty project – identifying elderly frail with a range of health conditions alongside social determinant issues.</w:t>
      </w:r>
    </w:p>
    <w:p w14:paraId="3107971A" w14:textId="77777777" w:rsidR="00C86752" w:rsidRPr="000A3F0D" w:rsidRDefault="00C86752" w:rsidP="00C86752">
      <w:pPr>
        <w:numPr>
          <w:ilvl w:val="0"/>
          <w:numId w:val="2"/>
        </w:numPr>
      </w:pPr>
      <w:r w:rsidRPr="000A3F0D">
        <w:t>Diabetes: Enhanced Case Finding and targeting individuals with high HBA1C and A&amp;E attendances.</w:t>
      </w:r>
    </w:p>
    <w:p w14:paraId="0B3C99FD" w14:textId="77777777" w:rsidR="00C86752" w:rsidRPr="000A3F0D" w:rsidRDefault="00C86752" w:rsidP="00C86752">
      <w:pPr>
        <w:numPr>
          <w:ilvl w:val="0"/>
          <w:numId w:val="2"/>
        </w:numPr>
      </w:pPr>
      <w:r w:rsidRPr="000A3F0D">
        <w:t>H</w:t>
      </w:r>
      <w:r>
        <w:t xml:space="preserve">igh Intensity Users </w:t>
      </w:r>
      <w:r w:rsidRPr="000A3F0D">
        <w:t>Pilot: Identifying high A&amp;E users for holistic assessments, revealing needs for more mental health support.</w:t>
      </w:r>
    </w:p>
    <w:p w14:paraId="2EEC34B6" w14:textId="77777777" w:rsidR="00C86752" w:rsidRPr="000A3F0D" w:rsidRDefault="00C86752" w:rsidP="00C86752">
      <w:pPr>
        <w:numPr>
          <w:ilvl w:val="0"/>
          <w:numId w:val="2"/>
        </w:numPr>
        <w:jc w:val="both"/>
      </w:pPr>
      <w:r w:rsidRPr="000A3F0D">
        <w:t>C</w:t>
      </w:r>
      <w:r>
        <w:t>ommunity Respiratory Team:</w:t>
      </w:r>
      <w:r w:rsidRPr="000A3F0D">
        <w:t xml:space="preserve"> Using PID data to identify and review patients with respiratory conditions and exploring access to the Fuel Poverty dashboard.</w:t>
      </w:r>
    </w:p>
    <w:p w14:paraId="36AEEDA1" w14:textId="77777777" w:rsidR="00C86752" w:rsidRPr="000A3F0D" w:rsidRDefault="00C86752" w:rsidP="00C86752">
      <w:pPr>
        <w:numPr>
          <w:ilvl w:val="0"/>
          <w:numId w:val="2"/>
        </w:numPr>
        <w:jc w:val="both"/>
      </w:pPr>
      <w:r w:rsidRPr="000A3F0D">
        <w:lastRenderedPageBreak/>
        <w:t>C</w:t>
      </w:r>
      <w:r>
        <w:t>hronic Kidney Disease:</w:t>
      </w:r>
      <w:r w:rsidRPr="000A3F0D">
        <w:t xml:space="preserve"> Criteria development in progress</w:t>
      </w:r>
      <w:r>
        <w:t xml:space="preserve"> a risk stratified model to support those most vulnerable patients</w:t>
      </w:r>
      <w:r w:rsidRPr="000A3F0D">
        <w:t>.</w:t>
      </w:r>
    </w:p>
    <w:p w14:paraId="6FDF0636" w14:textId="77777777" w:rsidR="00C86752" w:rsidRDefault="00C86752" w:rsidP="00C86752">
      <w:r w:rsidRPr="00305523">
        <w:t xml:space="preserve">These examples </w:t>
      </w:r>
      <w:r w:rsidRPr="000A3F0D">
        <w:t xml:space="preserve">show how </w:t>
      </w:r>
      <w:r>
        <w:t xml:space="preserve">data-led proactive case finding, </w:t>
      </w:r>
      <w:r w:rsidRPr="000A3F0D">
        <w:t>enables</w:t>
      </w:r>
      <w:r w:rsidRPr="00305523">
        <w:t xml:space="preserve"> earlier interventions, better care coordination, and alignment with broader health aims.</w:t>
      </w:r>
    </w:p>
    <w:p w14:paraId="2ADBAF1A" w14:textId="77777777" w:rsidR="00990110" w:rsidRPr="000A3F0D" w:rsidRDefault="00990110" w:rsidP="00305523"/>
    <w:p w14:paraId="6ECB8328" w14:textId="77777777" w:rsidR="00305523" w:rsidRPr="00305523" w:rsidRDefault="00000000" w:rsidP="00305523">
      <w:r>
        <w:pict w14:anchorId="2E854115">
          <v:rect id="_x0000_i1027" style="width:0;height:1.5pt" o:hralign="center" o:hrstd="t" o:hr="t" fillcolor="#a0a0a0" stroked="f"/>
        </w:pict>
      </w:r>
    </w:p>
    <w:p w14:paraId="107382B4" w14:textId="77777777" w:rsidR="00305523" w:rsidRPr="00305523" w:rsidRDefault="00305523" w:rsidP="00305523">
      <w:pPr>
        <w:pStyle w:val="Heading2"/>
      </w:pPr>
      <w:r w:rsidRPr="00305523">
        <w:t>3. Onboarding Process</w:t>
      </w:r>
    </w:p>
    <w:p w14:paraId="3A69FFE5" w14:textId="65459010" w:rsidR="00305523" w:rsidRDefault="00305523" w:rsidP="00E32575">
      <w:pPr>
        <w:jc w:val="both"/>
      </w:pPr>
      <w:r w:rsidRPr="00305523">
        <w:t xml:space="preserve">The onboarding process ensures the safe and effective use </w:t>
      </w:r>
      <w:r w:rsidRPr="000A3F0D">
        <w:t xml:space="preserve">of </w:t>
      </w:r>
      <w:r w:rsidR="006F1A71">
        <w:t xml:space="preserve">linked data </w:t>
      </w:r>
      <w:r w:rsidR="006A4E99">
        <w:t>dashboards</w:t>
      </w:r>
      <w:r w:rsidRPr="000A3F0D">
        <w:t xml:space="preserve"> by</w:t>
      </w:r>
      <w:r w:rsidRPr="00305523">
        <w:t xml:space="preserve"> local services. It follows a step-by-step approach for services to trial the tool and apply for PID access.</w:t>
      </w:r>
    </w:p>
    <w:p w14:paraId="39D95749" w14:textId="3DD85507" w:rsidR="00416D8E" w:rsidRDefault="00595E27" w:rsidP="0D5A100E">
      <w:pPr>
        <w:pStyle w:val="Heading3"/>
      </w:pPr>
      <w:r w:rsidRPr="000A3F0D">
        <w:t xml:space="preserve">Access to non-identifiable </w:t>
      </w:r>
      <w:r w:rsidR="00C86752">
        <w:t>dashboards</w:t>
      </w:r>
    </w:p>
    <w:p w14:paraId="3930CB3D" w14:textId="5F288E27" w:rsidR="00595E27" w:rsidRDefault="00F07543" w:rsidP="00E32575">
      <w:pPr>
        <w:jc w:val="both"/>
      </w:pPr>
      <w:r>
        <w:t>Organisations and associated staff</w:t>
      </w:r>
      <w:r w:rsidR="000A3F0D" w:rsidDel="00C86752">
        <w:t xml:space="preserve"> </w:t>
      </w:r>
      <w:r w:rsidR="00C86752">
        <w:t xml:space="preserve">that </w:t>
      </w:r>
      <w:r w:rsidR="000A3F0D">
        <w:t xml:space="preserve">have </w:t>
      </w:r>
      <w:r w:rsidR="005D3ACE" w:rsidRPr="005D3ACE">
        <w:t xml:space="preserve">signed up to the </w:t>
      </w:r>
      <w:r w:rsidR="006F1A71">
        <w:t>Population Health Dat</w:t>
      </w:r>
      <w:r w:rsidR="00F27A59">
        <w:t xml:space="preserve">a Sharing Agreement </w:t>
      </w:r>
      <w:r w:rsidR="000A3F0D">
        <w:t>can</w:t>
      </w:r>
      <w:r w:rsidR="00595E27">
        <w:t xml:space="preserve"> </w:t>
      </w:r>
      <w:r w:rsidR="005D3ACE">
        <w:t>obtain</w:t>
      </w:r>
      <w:r w:rsidR="00595E27">
        <w:t xml:space="preserve"> access to the non-identifiable versions of the </w:t>
      </w:r>
      <w:r>
        <w:t xml:space="preserve">available </w:t>
      </w:r>
      <w:r w:rsidR="00595E27">
        <w:t>dashboard</w:t>
      </w:r>
      <w:r>
        <w:t>s</w:t>
      </w:r>
      <w:r w:rsidR="0032684A">
        <w:t xml:space="preserve"> </w:t>
      </w:r>
      <w:r w:rsidR="00416D8E">
        <w:t xml:space="preserve">containing data </w:t>
      </w:r>
      <w:r w:rsidR="00C86752">
        <w:t xml:space="preserve">for their own organisations </w:t>
      </w:r>
      <w:r w:rsidR="0032684A">
        <w:t xml:space="preserve">with </w:t>
      </w:r>
      <w:r w:rsidR="00C348AA">
        <w:t>relative ease</w:t>
      </w:r>
      <w:r w:rsidR="00595E27">
        <w:t xml:space="preserve">. </w:t>
      </w:r>
      <w:r w:rsidR="005D3ACE" w:rsidRPr="004504CA">
        <w:t>NHS trusts, Local Authorities, and approved partner organisations</w:t>
      </w:r>
      <w:r w:rsidR="005D3ACE">
        <w:t xml:space="preserve"> </w:t>
      </w:r>
      <w:r w:rsidR="009E3562">
        <w:t>can</w:t>
      </w:r>
      <w:r w:rsidR="005D3ACE" w:rsidRPr="004504CA">
        <w:t xml:space="preserve"> access non-identifiable population health data for planning, monitoring, and improving services.</w:t>
      </w:r>
      <w:r w:rsidR="007D6A1C">
        <w:t xml:space="preserve">  These to</w:t>
      </w:r>
      <w:r w:rsidR="00C348AA">
        <w:t>o</w:t>
      </w:r>
      <w:r w:rsidR="007D6A1C">
        <w:t>ls provide valuable insight from LSOA and ward level up to the Cheshire &amp; Merseyside footprint.  They are often used as a preliminary to any direct care models requiring</w:t>
      </w:r>
      <w:r w:rsidR="006B6653">
        <w:t xml:space="preserve"> identifiable data, as they give the opportunity to test scenarios, assess population needs </w:t>
      </w:r>
      <w:r w:rsidR="006A0C2D">
        <w:t xml:space="preserve">and explore potential proactive criteria. </w:t>
      </w:r>
    </w:p>
    <w:p w14:paraId="3CE61465" w14:textId="6C2D4799" w:rsidR="00595E27" w:rsidRDefault="00595E27" w:rsidP="00E32575">
      <w:pPr>
        <w:jc w:val="both"/>
      </w:pPr>
      <w:r>
        <w:t xml:space="preserve">In order to access </w:t>
      </w:r>
      <w:r w:rsidR="00C86752">
        <w:t>de-</w:t>
      </w:r>
      <w:r w:rsidR="00D719D4">
        <w:t>identifiable</w:t>
      </w:r>
      <w:r w:rsidR="00C86752">
        <w:t xml:space="preserve"> dashboards for your own organisation</w:t>
      </w:r>
      <w:r>
        <w:t xml:space="preserve">, complete the </w:t>
      </w:r>
      <w:r w:rsidR="005D3ACE">
        <w:t xml:space="preserve">access request form </w:t>
      </w:r>
      <w:r>
        <w:t>with details of your role and the dashboard needed and email this to</w:t>
      </w:r>
      <w:r w:rsidR="007C7B00">
        <w:t xml:space="preserve"> </w:t>
      </w:r>
      <w:hyperlink r:id="rId11">
        <w:r w:rsidR="00DF1B19" w:rsidRPr="0D5A100E">
          <w:rPr>
            <w:rStyle w:val="Hyperlink"/>
          </w:rPr>
          <w:t>cipha.support@midmerseyda.nhs.uk</w:t>
        </w:r>
      </w:hyperlink>
      <w:r w:rsidR="00DF1B19">
        <w:t xml:space="preserve"> </w:t>
      </w:r>
    </w:p>
    <w:p w14:paraId="738DBBD7" w14:textId="5EF7F446" w:rsidR="00416D8E" w:rsidRDefault="00595E27" w:rsidP="0D5A100E">
      <w:pPr>
        <w:pStyle w:val="Heading3"/>
      </w:pPr>
      <w:r w:rsidRPr="005D3ACE">
        <w:t>Access to Personal</w:t>
      </w:r>
      <w:r w:rsidR="00416D8E">
        <w:t>ly</w:t>
      </w:r>
      <w:r w:rsidRPr="005D3ACE">
        <w:t xml:space="preserve"> Identifiable </w:t>
      </w:r>
      <w:r w:rsidR="00E14DED" w:rsidRPr="005D3ACE">
        <w:t>(PID)</w:t>
      </w:r>
      <w:r w:rsidR="00416D8E">
        <w:t xml:space="preserve"> Dashboards</w:t>
      </w:r>
    </w:p>
    <w:p w14:paraId="7BC981DD" w14:textId="471FF085" w:rsidR="00E32575" w:rsidRDefault="00E32575" w:rsidP="00E32575">
      <w:pPr>
        <w:jc w:val="both"/>
      </w:pPr>
      <w:r w:rsidRPr="00E32575">
        <w:t xml:space="preserve">This PID version of the </w:t>
      </w:r>
      <w:r w:rsidR="00416D8E">
        <w:t>dashboards can</w:t>
      </w:r>
      <w:r w:rsidRPr="00E32575" w:rsidDel="00416D8E">
        <w:t xml:space="preserve"> </w:t>
      </w:r>
      <w:r w:rsidRPr="00E32575">
        <w:t>only be accessed and used by services for the purpose of direct patient care, in line with Caldicott principles and information governance requirements</w:t>
      </w:r>
      <w:r>
        <w:t>.</w:t>
      </w:r>
    </w:p>
    <w:p w14:paraId="112B3F63" w14:textId="1B87AEFA" w:rsidR="00E975A0" w:rsidRDefault="0089789B" w:rsidP="00E32575">
      <w:pPr>
        <w:jc w:val="both"/>
      </w:pPr>
      <w:r>
        <w:t xml:space="preserve">Getting access to </w:t>
      </w:r>
      <w:r w:rsidR="00416D8E">
        <w:t xml:space="preserve">dashboards with PID </w:t>
      </w:r>
      <w:r w:rsidR="00FB0ED0">
        <w:t xml:space="preserve">requires engagement with a </w:t>
      </w:r>
      <w:r>
        <w:t>process which is overseen by the Data A</w:t>
      </w:r>
      <w:r w:rsidR="00416D8E">
        <w:t>sset</w:t>
      </w:r>
      <w:r>
        <w:t xml:space="preserve"> and </w:t>
      </w:r>
      <w:r w:rsidR="00416D8E">
        <w:t xml:space="preserve">Access </w:t>
      </w:r>
      <w:r>
        <w:t>Group</w:t>
      </w:r>
      <w:r w:rsidR="00416D8E">
        <w:t xml:space="preserve"> (DAAG),</w:t>
      </w:r>
      <w:r>
        <w:t xml:space="preserve"> </w:t>
      </w:r>
      <w:r w:rsidR="005D3ACE">
        <w:t>wh</w:t>
      </w:r>
      <w:r w:rsidR="00FB0ED0">
        <w:t>ich</w:t>
      </w:r>
      <w:r w:rsidR="005D3ACE">
        <w:t xml:space="preserve"> </w:t>
      </w:r>
      <w:r>
        <w:t>operate</w:t>
      </w:r>
      <w:r w:rsidR="00FB0ED0">
        <w:t>s</w:t>
      </w:r>
      <w:r>
        <w:t xml:space="preserve"> </w:t>
      </w:r>
      <w:r w:rsidR="00FB0ED0">
        <w:t>within</w:t>
      </w:r>
      <w:r>
        <w:t xml:space="preserve"> the </w:t>
      </w:r>
      <w:r w:rsidR="00416D8E">
        <w:t xml:space="preserve">Cheshire and Merseyside ICB </w:t>
      </w:r>
      <w:r>
        <w:t xml:space="preserve">Data </w:t>
      </w:r>
      <w:r w:rsidR="00416D8E">
        <w:t>I</w:t>
      </w:r>
      <w:r>
        <w:t>nto Action Programme</w:t>
      </w:r>
      <w:r w:rsidR="00416D8E">
        <w:t xml:space="preserve">. </w:t>
      </w:r>
      <w:r w:rsidDel="00416D8E">
        <w:t xml:space="preserve"> </w:t>
      </w:r>
      <w:r w:rsidR="00CC6C17">
        <w:t>T</w:t>
      </w:r>
      <w:r>
        <w:t xml:space="preserve">here </w:t>
      </w:r>
      <w:r w:rsidR="00E975A0">
        <w:t>are</w:t>
      </w:r>
      <w:r>
        <w:t xml:space="preserve"> </w:t>
      </w:r>
      <w:r w:rsidR="00CC6C17">
        <w:t xml:space="preserve">strict criteria </w:t>
      </w:r>
      <w:r w:rsidR="00E975A0">
        <w:t xml:space="preserve">which </w:t>
      </w:r>
      <w:r w:rsidR="00CC6C17">
        <w:t>m</w:t>
      </w:r>
      <w:r w:rsidR="00E975A0">
        <w:t>u</w:t>
      </w:r>
      <w:r w:rsidR="00CC6C17">
        <w:t xml:space="preserve">st be </w:t>
      </w:r>
      <w:r w:rsidR="00E975A0">
        <w:t xml:space="preserve">satisfied </w:t>
      </w:r>
      <w:proofErr w:type="gramStart"/>
      <w:r w:rsidR="00E975A0">
        <w:t>in order to</w:t>
      </w:r>
      <w:proofErr w:type="gramEnd"/>
      <w:r w:rsidR="00E975A0">
        <w:t xml:space="preserve"> get access to identifiable </w:t>
      </w:r>
      <w:proofErr w:type="gramStart"/>
      <w:r w:rsidR="00E975A0">
        <w:t>data</w:t>
      </w:r>
      <w:proofErr w:type="gramEnd"/>
      <w:r w:rsidR="00E975A0">
        <w:t xml:space="preserve"> and it is important to allow sufficient time </w:t>
      </w:r>
      <w:r w:rsidR="00E14DED">
        <w:t>for this process when planning a project requiring this</w:t>
      </w:r>
      <w:r w:rsidR="006C79BC">
        <w:t xml:space="preserve"> type of</w:t>
      </w:r>
      <w:r w:rsidR="00E14DED">
        <w:t xml:space="preserve"> access.</w:t>
      </w:r>
      <w:r w:rsidR="00EA7495">
        <w:t xml:space="preserve">  The Data </w:t>
      </w:r>
      <w:proofErr w:type="gramStart"/>
      <w:r w:rsidR="00EA7495">
        <w:t>Into</w:t>
      </w:r>
      <w:proofErr w:type="gramEnd"/>
      <w:r w:rsidR="00EA7495">
        <w:t xml:space="preserve"> Action Team can help support data access </w:t>
      </w:r>
      <w:proofErr w:type="gramStart"/>
      <w:r w:rsidR="00EA7495">
        <w:t>requests, and</w:t>
      </w:r>
      <w:proofErr w:type="gramEnd"/>
      <w:r w:rsidR="00EA7495">
        <w:t xml:space="preserve"> host</w:t>
      </w:r>
      <w:r w:rsidR="00416D8E">
        <w:t>s</w:t>
      </w:r>
      <w:r w:rsidR="00EA7495">
        <w:t xml:space="preserve"> regular </w:t>
      </w:r>
      <w:r w:rsidR="00416D8E">
        <w:t>‘</w:t>
      </w:r>
      <w:r w:rsidR="00EA7495">
        <w:t>clinic</w:t>
      </w:r>
      <w:r w:rsidR="00416D8E">
        <w:t>s’</w:t>
      </w:r>
      <w:r w:rsidR="00EA7495" w:rsidDel="00416D8E">
        <w:t xml:space="preserve"> </w:t>
      </w:r>
      <w:r w:rsidR="00416D8E">
        <w:t xml:space="preserve">that </w:t>
      </w:r>
      <w:r w:rsidR="00EA7495">
        <w:t>people can book into for advice and support</w:t>
      </w:r>
      <w:r w:rsidR="00416D8E">
        <w:t xml:space="preserve">.  Please email </w:t>
      </w:r>
      <w:hyperlink r:id="rId12">
        <w:r w:rsidR="00EA7495" w:rsidRPr="0D5A100E">
          <w:rPr>
            <w:rStyle w:val="Hyperlink"/>
          </w:rPr>
          <w:t>dataintoaction@cheshireandmerseyside.nhs.uk</w:t>
        </w:r>
      </w:hyperlink>
      <w:r w:rsidR="00416D8E">
        <w:t xml:space="preserve"> to request a booking.</w:t>
      </w:r>
    </w:p>
    <w:tbl>
      <w:tblPr>
        <w:tblW w:w="0" w:type="auto"/>
        <w:tblLook w:val="04A0" w:firstRow="1" w:lastRow="0" w:firstColumn="1" w:lastColumn="0" w:noHBand="0" w:noVBand="1"/>
      </w:tblPr>
      <w:tblGrid>
        <w:gridCol w:w="9026"/>
      </w:tblGrid>
      <w:tr w:rsidR="0091648F" w14:paraId="1B2DB3D0" w14:textId="77777777" w:rsidTr="00FD4C98">
        <w:tc>
          <w:tcPr>
            <w:tcW w:w="9026" w:type="dxa"/>
            <w:shd w:val="clear" w:color="auto" w:fill="E6F0FA"/>
          </w:tcPr>
          <w:p w14:paraId="78F8D883" w14:textId="7595DB17" w:rsidR="0091648F" w:rsidRDefault="0091648F" w:rsidP="0091648F">
            <w:r>
              <w:rPr>
                <w:b/>
              </w:rPr>
              <w:t xml:space="preserve">✅ Top Tips for the Data Access </w:t>
            </w:r>
            <w:r w:rsidR="00416D8E">
              <w:rPr>
                <w:b/>
              </w:rPr>
              <w:t xml:space="preserve">Request </w:t>
            </w:r>
            <w:r>
              <w:rPr>
                <w:b/>
              </w:rPr>
              <w:t>Process:</w:t>
            </w:r>
            <w:r>
              <w:br/>
            </w:r>
          </w:p>
          <w:p w14:paraId="7E70F183" w14:textId="3C1E7EF2" w:rsidR="0091648F" w:rsidRDefault="0091648F" w:rsidP="0091648F">
            <w:r>
              <w:t xml:space="preserve">• </w:t>
            </w:r>
            <w:r w:rsidRPr="0091648F">
              <w:rPr>
                <w:u w:val="single"/>
              </w:rPr>
              <w:t>Clear purpose:</w:t>
            </w:r>
            <w:r>
              <w:t xml:space="preserve"> Ensure you have a clear purpose and use case for access to the data; DAAG will need this to approve any access.</w:t>
            </w:r>
          </w:p>
          <w:p w14:paraId="4DEE2101" w14:textId="5D764BFD" w:rsidR="0091648F" w:rsidRDefault="0091648F" w:rsidP="00FD4C98">
            <w:pPr>
              <w:spacing w:after="120"/>
              <w:ind w:left="120"/>
            </w:pPr>
            <w:r>
              <w:t xml:space="preserve">• </w:t>
            </w:r>
            <w:r w:rsidRPr="0091648F">
              <w:rPr>
                <w:u w:val="single"/>
              </w:rPr>
              <w:t>Engage the Data into Action Programme early</w:t>
            </w:r>
            <w:r>
              <w:t>: Discuss your initial thoughts/plans on the access needed and for what purpose with the D</w:t>
            </w:r>
            <w:r w:rsidR="00EA7495">
              <w:t>I</w:t>
            </w:r>
            <w:r>
              <w:t xml:space="preserve">A team. This will help to identify any potential </w:t>
            </w:r>
            <w:r>
              <w:lastRenderedPageBreak/>
              <w:t>challenges and issues early in the process and will provide advice on how best to progress with the request. Email: dataintoaction@cheshireandmerseyside.nhs.uk</w:t>
            </w:r>
          </w:p>
          <w:p w14:paraId="43750B4A" w14:textId="77777777" w:rsidR="0091648F" w:rsidRDefault="0091648F" w:rsidP="00FD4C98">
            <w:pPr>
              <w:spacing w:after="120"/>
              <w:ind w:left="120"/>
            </w:pPr>
            <w:r>
              <w:t xml:space="preserve">• </w:t>
            </w:r>
            <w:r w:rsidRPr="0091648F">
              <w:rPr>
                <w:u w:val="single"/>
              </w:rPr>
              <w:t>Engage with general practice early on in the process:</w:t>
            </w:r>
            <w:r>
              <w:t xml:space="preserve"> Local GP-led organisations such as the Local Medical Committee or Primary Care Networks are key stakeholders in the development of these projects. Early engagement with them is essential to gather feedback, secure support, and ensure the project aligns with primary care clinical priorities. This engagement should ideally be facilitated or overseen by the relevant Place Proactive Care Group.</w:t>
            </w:r>
          </w:p>
          <w:p w14:paraId="7C3EED3F" w14:textId="77777777" w:rsidR="0091648F" w:rsidRDefault="0091648F" w:rsidP="00FD4C98">
            <w:pPr>
              <w:spacing w:after="120"/>
              <w:ind w:left="120"/>
            </w:pPr>
            <w:r>
              <w:t xml:space="preserve">• </w:t>
            </w:r>
            <w:r w:rsidRPr="0091648F">
              <w:rPr>
                <w:u w:val="single"/>
              </w:rPr>
              <w:t>Alignment with local services/Place:</w:t>
            </w:r>
            <w:r>
              <w:t xml:space="preserve"> Work with Place leads to ensure the project aligns with other plans and projects underway. It is important to put the patient at the heart of these designs, avoiding multiple contacts from different teams, and ensuring that the most relevant team is the first to offer support. As noted in section 2 above, this co-ordination will ideally be managed via a Proactive Care Group at Place level or similar governance structure.</w:t>
            </w:r>
          </w:p>
          <w:p w14:paraId="15208226" w14:textId="77777777" w:rsidR="0091648F" w:rsidRDefault="0091648F" w:rsidP="00FD4C98">
            <w:pPr>
              <w:spacing w:after="120"/>
              <w:ind w:left="120"/>
            </w:pPr>
            <w:r>
              <w:t>• Despite this direct access, services must still work closely with GP practices as often they do need their engagement to help establish the legal basis for direct care.</w:t>
            </w:r>
          </w:p>
        </w:tc>
      </w:tr>
    </w:tbl>
    <w:p w14:paraId="185EFAA5" w14:textId="4C9E2D31" w:rsidR="00911DDC" w:rsidRPr="005D3ACE" w:rsidRDefault="00911DDC" w:rsidP="0D5A100E">
      <w:pPr>
        <w:pStyle w:val="Heading3"/>
      </w:pPr>
      <w:r w:rsidRPr="005D3ACE">
        <w:lastRenderedPageBreak/>
        <w:t>PID Access for GP Practices</w:t>
      </w:r>
    </w:p>
    <w:p w14:paraId="43BC8EEE" w14:textId="5F8C2371" w:rsidR="00416D8E" w:rsidRDefault="00536D6E" w:rsidP="00E32575">
      <w:pPr>
        <w:jc w:val="both"/>
      </w:pPr>
      <w:r>
        <w:t xml:space="preserve">As the data controllers, GP practices can access the </w:t>
      </w:r>
      <w:r w:rsidR="00361407">
        <w:t xml:space="preserve">identifiable </w:t>
      </w:r>
      <w:r w:rsidR="00416D8E">
        <w:t xml:space="preserve">versions of dashboards for their own practice’s data </w:t>
      </w:r>
      <w:r w:rsidR="00361407">
        <w:t>without hav</w:t>
      </w:r>
      <w:r w:rsidR="005D3ACE">
        <w:t>ing</w:t>
      </w:r>
      <w:r w:rsidR="00361407">
        <w:t xml:space="preserve"> to request access from DAAG</w:t>
      </w:r>
      <w:r w:rsidR="00743350">
        <w:t xml:space="preserve">.  </w:t>
      </w:r>
      <w:r w:rsidR="00416D8E">
        <w:t xml:space="preserve">Complete the access request form with details of your role and the dashboard needed and email this to </w:t>
      </w:r>
      <w:hyperlink r:id="rId13">
        <w:r w:rsidR="00416D8E" w:rsidRPr="0D5A100E">
          <w:rPr>
            <w:rStyle w:val="Hyperlink"/>
          </w:rPr>
          <w:t>cipha.support@midmerseyda.nhs.uk</w:t>
        </w:r>
      </w:hyperlink>
      <w:r w:rsidR="00416D8E">
        <w:t xml:space="preserve"> </w:t>
      </w:r>
    </w:p>
    <w:p w14:paraId="3B21F6A3" w14:textId="3CD1DA03" w:rsidR="00E14DED" w:rsidRPr="00E32575" w:rsidRDefault="00AE3A1F" w:rsidP="0D5A100E">
      <w:pPr>
        <w:pStyle w:val="Heading3"/>
      </w:pPr>
      <w:r w:rsidRPr="00E32575">
        <w:t>PID Access Process for Secondary Care Teams</w:t>
      </w:r>
      <w:r w:rsidR="00CC0DCC">
        <w:t>, Community Providers</w:t>
      </w:r>
      <w:r w:rsidRPr="00E32575">
        <w:t xml:space="preserve"> and </w:t>
      </w:r>
      <w:r w:rsidR="007439D5" w:rsidRPr="00E32575">
        <w:t>Local Authorit</w:t>
      </w:r>
      <w:r w:rsidR="004C23D4" w:rsidRPr="00E32575">
        <w:t>ies</w:t>
      </w:r>
      <w:r w:rsidR="002B6405">
        <w:t xml:space="preserve"> in developing community models</w:t>
      </w:r>
      <w:r w:rsidR="00E068FE" w:rsidRPr="00E32575">
        <w:t>.</w:t>
      </w:r>
    </w:p>
    <w:p w14:paraId="5620E483" w14:textId="30C48C1A" w:rsidR="00E068FE" w:rsidRDefault="00830228" w:rsidP="002B34DF">
      <w:pPr>
        <w:pStyle w:val="ListParagraph"/>
        <w:numPr>
          <w:ilvl w:val="0"/>
          <w:numId w:val="32"/>
        </w:numPr>
        <w:jc w:val="both"/>
      </w:pPr>
      <w:r>
        <w:t>Develop draft proposal engaging key stakeholders including primary care representatives</w:t>
      </w:r>
      <w:r w:rsidR="00057762">
        <w:t xml:space="preserve"> using the non-identifiable </w:t>
      </w:r>
      <w:r w:rsidR="004F58C7">
        <w:t>version of the dashboard</w:t>
      </w:r>
      <w:r w:rsidR="008E0EED">
        <w:t>.</w:t>
      </w:r>
    </w:p>
    <w:p w14:paraId="546AB164" w14:textId="6126FE75" w:rsidR="00321407" w:rsidRDefault="00EE788E" w:rsidP="002B34DF">
      <w:pPr>
        <w:pStyle w:val="ListParagraph"/>
        <w:numPr>
          <w:ilvl w:val="0"/>
          <w:numId w:val="32"/>
        </w:numPr>
        <w:jc w:val="both"/>
      </w:pPr>
      <w:r>
        <w:t xml:space="preserve">Work with the local </w:t>
      </w:r>
      <w:r w:rsidR="00EA7495">
        <w:t>Population Health Management Group (</w:t>
      </w:r>
      <w:r>
        <w:t>Proactive Care</w:t>
      </w:r>
      <w:r w:rsidR="00EA7495">
        <w:t xml:space="preserve">) </w:t>
      </w:r>
      <w:r>
        <w:t>(or similar governance) to seek local</w:t>
      </w:r>
      <w:r w:rsidR="00321407">
        <w:t xml:space="preserve"> feedback and support</w:t>
      </w:r>
      <w:r w:rsidR="008E0EED">
        <w:t>.</w:t>
      </w:r>
    </w:p>
    <w:p w14:paraId="0881CAC6" w14:textId="4FF24866" w:rsidR="00D61E65" w:rsidRDefault="00D61E65" w:rsidP="002B34DF">
      <w:pPr>
        <w:pStyle w:val="ListParagraph"/>
        <w:numPr>
          <w:ilvl w:val="0"/>
          <w:numId w:val="32"/>
        </w:numPr>
        <w:jc w:val="both"/>
      </w:pPr>
      <w:r>
        <w:t>Discuss with DIA team to determine if there is a likely precedent in place with a comparable team / model</w:t>
      </w:r>
      <w:r w:rsidR="00EE788E">
        <w:t>.</w:t>
      </w:r>
    </w:p>
    <w:p w14:paraId="5F6DA428" w14:textId="60499A4E" w:rsidR="00E32575" w:rsidRDefault="006C222B" w:rsidP="002B34DF">
      <w:pPr>
        <w:pStyle w:val="ListParagraph"/>
        <w:numPr>
          <w:ilvl w:val="0"/>
          <w:numId w:val="32"/>
        </w:numPr>
        <w:jc w:val="both"/>
      </w:pPr>
      <w:r>
        <w:t>Complete a D</w:t>
      </w:r>
      <w:r w:rsidR="001E1057">
        <w:t>ata Access Policy Amendment (DAPA) f</w:t>
      </w:r>
      <w:r>
        <w:t xml:space="preserve">orm </w:t>
      </w:r>
      <w:r w:rsidR="00486EF2">
        <w:t xml:space="preserve">for DAAG to consider </w:t>
      </w:r>
      <w:r w:rsidR="00CE0508">
        <w:t>the suitability of the request</w:t>
      </w:r>
      <w:r w:rsidR="001E1057">
        <w:t xml:space="preserve">, </w:t>
      </w:r>
      <w:r w:rsidR="00CE0508">
        <w:t>it</w:t>
      </w:r>
      <w:r w:rsidR="001E1057">
        <w:t>’</w:t>
      </w:r>
      <w:r w:rsidR="00CE0508">
        <w:t>s compliance with the data sharing agreement and relevant information governance rules</w:t>
      </w:r>
      <w:r w:rsidR="00E32575">
        <w:t xml:space="preserve">. </w:t>
      </w:r>
      <w:r w:rsidR="00266F4B">
        <w:t xml:space="preserve">Once access </w:t>
      </w:r>
      <w:r w:rsidR="00706E94">
        <w:t>has been</w:t>
      </w:r>
      <w:r w:rsidR="00266F4B">
        <w:t xml:space="preserve"> granted, </w:t>
      </w:r>
      <w:r w:rsidR="00706E94">
        <w:t>the D</w:t>
      </w:r>
      <w:r w:rsidR="00E15A7B">
        <w:t>I</w:t>
      </w:r>
      <w:r w:rsidR="00706E94">
        <w:t xml:space="preserve">A Team will </w:t>
      </w:r>
      <w:r w:rsidR="007D648F">
        <w:t>ensure that appropriate access is granted</w:t>
      </w:r>
      <w:r w:rsidR="00E32575">
        <w:t>.</w:t>
      </w:r>
    </w:p>
    <w:p w14:paraId="71D66685" w14:textId="72386387" w:rsidR="00013613" w:rsidRPr="00CE33B9" w:rsidRDefault="00A460AF" w:rsidP="002B34DF">
      <w:pPr>
        <w:pStyle w:val="ListParagraph"/>
        <w:numPr>
          <w:ilvl w:val="0"/>
          <w:numId w:val="32"/>
        </w:numPr>
        <w:jc w:val="both"/>
      </w:pPr>
      <w:r>
        <w:t>P</w:t>
      </w:r>
      <w:r w:rsidR="00266F4B">
        <w:t xml:space="preserve">ull patients lists and </w:t>
      </w:r>
      <w:r w:rsidR="007D648F">
        <w:t xml:space="preserve">engage the </w:t>
      </w:r>
      <w:r w:rsidR="00266F4B">
        <w:t xml:space="preserve">GP </w:t>
      </w:r>
      <w:r w:rsidR="005824A3">
        <w:t xml:space="preserve">Practices </w:t>
      </w:r>
      <w:r w:rsidR="00202695">
        <w:t xml:space="preserve">with </w:t>
      </w:r>
      <w:r w:rsidR="00D61E65">
        <w:t>your</w:t>
      </w:r>
      <w:r w:rsidR="00202695">
        <w:t xml:space="preserve"> </w:t>
      </w:r>
      <w:r w:rsidR="006C643A">
        <w:t>plans,</w:t>
      </w:r>
      <w:r w:rsidR="002B6405">
        <w:t xml:space="preserve"> providing them with the option</w:t>
      </w:r>
      <w:r w:rsidR="000B1BA0">
        <w:t>s</w:t>
      </w:r>
      <w:r w:rsidR="002B6405">
        <w:t xml:space="preserve"> to </w:t>
      </w:r>
      <w:r w:rsidR="007D648F">
        <w:t>ratify the list</w:t>
      </w:r>
      <w:r w:rsidR="002B6405">
        <w:t xml:space="preserve"> of patients or for their practice to opt out of the intervention</w:t>
      </w:r>
      <w:r w:rsidR="00E32575">
        <w:t xml:space="preserve">. </w:t>
      </w:r>
    </w:p>
    <w:p w14:paraId="546FF7E0" w14:textId="5F66F4FB" w:rsidR="007C02A2" w:rsidRDefault="007F6C10" w:rsidP="002B34DF">
      <w:pPr>
        <w:pStyle w:val="ListParagraph"/>
        <w:numPr>
          <w:ilvl w:val="0"/>
          <w:numId w:val="32"/>
        </w:numPr>
        <w:jc w:val="both"/>
      </w:pPr>
      <w:r>
        <w:t xml:space="preserve">Once authorisation has been provided, </w:t>
      </w:r>
      <w:r w:rsidR="009E5B3B">
        <w:t xml:space="preserve">contact can be made with </w:t>
      </w:r>
      <w:r w:rsidR="00A460AF">
        <w:t>patients,</w:t>
      </w:r>
      <w:r w:rsidR="009E5B3B">
        <w:t xml:space="preserve"> and the project can move to delivery.</w:t>
      </w:r>
    </w:p>
    <w:p w14:paraId="4F30FF9B" w14:textId="38C4FFC0" w:rsidR="00E068FE" w:rsidRPr="00E32575" w:rsidRDefault="00454127" w:rsidP="0D5A100E">
      <w:pPr>
        <w:pStyle w:val="Heading3"/>
      </w:pPr>
      <w:r w:rsidRPr="00E32575">
        <w:t>P</w:t>
      </w:r>
      <w:r w:rsidR="003247D9" w:rsidRPr="00E32575">
        <w:t>I</w:t>
      </w:r>
      <w:r w:rsidRPr="00E32575">
        <w:t xml:space="preserve">D Access </w:t>
      </w:r>
      <w:r w:rsidR="003247D9" w:rsidRPr="00E32575">
        <w:t>P</w:t>
      </w:r>
      <w:r w:rsidRPr="00E32575">
        <w:t>rocess for PCNs</w:t>
      </w:r>
    </w:p>
    <w:p w14:paraId="2CD48033" w14:textId="56C95DA7" w:rsidR="00E14DED" w:rsidRDefault="00216B11" w:rsidP="00E32575">
      <w:pPr>
        <w:jc w:val="both"/>
      </w:pPr>
      <w:r>
        <w:t>In order for PCNs to access identifiable data</w:t>
      </w:r>
      <w:r w:rsidR="00BE2926">
        <w:t xml:space="preserve">, </w:t>
      </w:r>
      <w:r w:rsidR="00416D8E">
        <w:t xml:space="preserve">for example one GP Practice requesting access for the PCN as a whole, </w:t>
      </w:r>
      <w:r w:rsidR="00557BFA">
        <w:t xml:space="preserve">the Data Access Policy Request form still needs to be completed and sent to </w:t>
      </w:r>
      <w:hyperlink r:id="rId14" w:history="1">
        <w:r w:rsidR="00557BFA" w:rsidRPr="005C0251">
          <w:rPr>
            <w:rStyle w:val="Hyperlink"/>
          </w:rPr>
          <w:t>dataintoaction@cheshireandmerseyside.nhs.uk</w:t>
        </w:r>
      </w:hyperlink>
      <w:r w:rsidR="00557BFA">
        <w:t>.  However if the chair of DAAG agrees that an appropriate precedent is in place, access can be granted immediately, and then the request will be presented to the next DAAG meeting for noting.  A c</w:t>
      </w:r>
      <w:r w:rsidR="00E70E7D">
        <w:t xml:space="preserve">opy of the DSA between </w:t>
      </w:r>
      <w:r w:rsidR="00F54506">
        <w:t>Practices</w:t>
      </w:r>
      <w:r w:rsidR="00E70E7D">
        <w:t xml:space="preserve"> within the PCN </w:t>
      </w:r>
      <w:r w:rsidR="00557BFA">
        <w:t>will also need to be supplied.</w:t>
      </w:r>
    </w:p>
    <w:p w14:paraId="4B43E15F" w14:textId="77777777" w:rsidR="00557BFA" w:rsidRDefault="00557BFA" w:rsidP="0D5A100E">
      <w:pPr>
        <w:pBdr>
          <w:bottom w:val="single" w:sz="4" w:space="1" w:color="auto"/>
        </w:pBdr>
        <w:jc w:val="both"/>
      </w:pPr>
    </w:p>
    <w:p w14:paraId="0F8AB921" w14:textId="1DFB7884" w:rsidR="00305523" w:rsidRPr="00305523" w:rsidRDefault="00557BFA" w:rsidP="0D5A100E">
      <w:pPr>
        <w:pStyle w:val="Heading2"/>
      </w:pPr>
      <w:r>
        <w:t xml:space="preserve">3. </w:t>
      </w:r>
      <w:r w:rsidR="00E14DED" w:rsidRPr="00557BFA">
        <w:t>Example</w:t>
      </w:r>
      <w:r w:rsidR="00E14DED">
        <w:t xml:space="preserve"> </w:t>
      </w:r>
      <w:r w:rsidR="00305523" w:rsidRPr="00305523">
        <w:t>Step-by-Step Rollout Plan</w:t>
      </w:r>
      <w:r w:rsidR="000B1BA0">
        <w:t xml:space="preserve"> Using Non-PID data</w:t>
      </w:r>
    </w:p>
    <w:p w14:paraId="226AEFF6" w14:textId="6C997884" w:rsidR="00557BFA" w:rsidRDefault="00557BFA" w:rsidP="0D5A100E">
      <w:r>
        <w:t>In many cases, an exploratory phase can be carried out using non identifiable data.  Some example steps for this approach are below:</w:t>
      </w:r>
    </w:p>
    <w:p w14:paraId="57ECDEA9" w14:textId="0F49EE9A" w:rsidR="00305523" w:rsidRPr="001A6616" w:rsidRDefault="00305523" w:rsidP="00EA7495">
      <w:pPr>
        <w:numPr>
          <w:ilvl w:val="0"/>
          <w:numId w:val="3"/>
        </w:numPr>
        <w:spacing w:after="0" w:line="240" w:lineRule="auto"/>
        <w:ind w:left="714" w:hanging="357"/>
        <w:jc w:val="both"/>
      </w:pPr>
      <w:r w:rsidRPr="001A6616">
        <w:t>Initial Access: Services are granted access to the non-PID version to explore dashboards and develop initial search criteria.</w:t>
      </w:r>
    </w:p>
    <w:p w14:paraId="3526D1A9" w14:textId="77777777" w:rsidR="00305523" w:rsidRPr="001A6616" w:rsidRDefault="00305523" w:rsidP="00EA7495">
      <w:pPr>
        <w:numPr>
          <w:ilvl w:val="0"/>
          <w:numId w:val="3"/>
        </w:numPr>
        <w:spacing w:after="0" w:line="240" w:lineRule="auto"/>
        <w:ind w:left="714" w:hanging="357"/>
        <w:jc w:val="both"/>
      </w:pPr>
      <w:r w:rsidRPr="001A6616">
        <w:t>Define Target Cohort: Services define the patient cohort based on clinical or demographic criteria.</w:t>
      </w:r>
    </w:p>
    <w:p w14:paraId="2D461930" w14:textId="77777777" w:rsidR="00305523" w:rsidRPr="001A6616" w:rsidRDefault="00305523" w:rsidP="00EA7495">
      <w:pPr>
        <w:numPr>
          <w:ilvl w:val="0"/>
          <w:numId w:val="3"/>
        </w:numPr>
        <w:spacing w:after="0" w:line="240" w:lineRule="auto"/>
        <w:ind w:left="714" w:hanging="357"/>
        <w:jc w:val="both"/>
      </w:pPr>
      <w:r w:rsidRPr="001A6616">
        <w:t>Generate Patient List: The service generates a non-PID list based on the defined criteria.</w:t>
      </w:r>
    </w:p>
    <w:p w14:paraId="75410347" w14:textId="4F09FCB4" w:rsidR="00305523" w:rsidRPr="001A6616" w:rsidRDefault="00305523" w:rsidP="00EA7495">
      <w:pPr>
        <w:numPr>
          <w:ilvl w:val="0"/>
          <w:numId w:val="3"/>
        </w:numPr>
        <w:spacing w:after="0" w:line="240" w:lineRule="auto"/>
        <w:ind w:left="714" w:hanging="357"/>
        <w:jc w:val="both"/>
      </w:pPr>
      <w:r w:rsidRPr="001A6616">
        <w:t xml:space="preserve">Partner with GP/PCN: The service collaborates with a local GP practice or PCN to test </w:t>
      </w:r>
      <w:r w:rsidR="00D335E6">
        <w:t xml:space="preserve">an approach based on a proposed criteria </w:t>
      </w:r>
      <w:r w:rsidRPr="001A6616">
        <w:t>(20–30 patients).</w:t>
      </w:r>
    </w:p>
    <w:p w14:paraId="6A4ACB2D" w14:textId="77777777" w:rsidR="00CA3923" w:rsidRDefault="00305523" w:rsidP="00EA7495">
      <w:pPr>
        <w:numPr>
          <w:ilvl w:val="0"/>
          <w:numId w:val="3"/>
        </w:numPr>
        <w:spacing w:after="0" w:line="240" w:lineRule="auto"/>
        <w:ind w:left="714" w:hanging="357"/>
        <w:jc w:val="both"/>
      </w:pPr>
      <w:r w:rsidRPr="001A6616">
        <w:t xml:space="preserve">Referral and Case Management: Identified patients are referred by the GP </w:t>
      </w:r>
      <w:r w:rsidR="000B1BA0">
        <w:t xml:space="preserve">based on proposed criteria </w:t>
      </w:r>
    </w:p>
    <w:p w14:paraId="5A27A783" w14:textId="28B6CDD8" w:rsidR="00305523" w:rsidRPr="001A6616" w:rsidRDefault="00CA3923" w:rsidP="00EA7495">
      <w:pPr>
        <w:numPr>
          <w:ilvl w:val="0"/>
          <w:numId w:val="3"/>
        </w:numPr>
        <w:spacing w:after="0" w:line="240" w:lineRule="auto"/>
        <w:ind w:left="714" w:hanging="357"/>
        <w:jc w:val="both"/>
      </w:pPr>
      <w:r>
        <w:t>The service reviews</w:t>
      </w:r>
      <w:r w:rsidR="00D335E6">
        <w:t xml:space="preserve">, treats and supports </w:t>
      </w:r>
      <w:r>
        <w:t>the patient as expected with this new model of care</w:t>
      </w:r>
      <w:r w:rsidR="00305523" w:rsidRPr="001A6616">
        <w:t>.</w:t>
      </w:r>
    </w:p>
    <w:p w14:paraId="3E523C02" w14:textId="77777777" w:rsidR="00305523" w:rsidRPr="001A6616" w:rsidRDefault="00305523" w:rsidP="00EA7495">
      <w:pPr>
        <w:numPr>
          <w:ilvl w:val="0"/>
          <w:numId w:val="3"/>
        </w:numPr>
        <w:spacing w:after="0" w:line="240" w:lineRule="auto"/>
        <w:ind w:left="714" w:hanging="357"/>
        <w:jc w:val="both"/>
      </w:pPr>
      <w:r w:rsidRPr="001A6616">
        <w:t>Evaluation and Learning: The approach is evaluated, and findings are shared with the Steering Group.</w:t>
      </w:r>
    </w:p>
    <w:p w14:paraId="73D4F662" w14:textId="77777777" w:rsidR="00305523" w:rsidRPr="001A6616" w:rsidRDefault="00305523" w:rsidP="00E32575">
      <w:pPr>
        <w:numPr>
          <w:ilvl w:val="0"/>
          <w:numId w:val="3"/>
        </w:numPr>
        <w:jc w:val="both"/>
      </w:pPr>
      <w:r w:rsidRPr="001A6616">
        <w:t>Applying for PID Access: If the pilot is successful, the service applies for full PID access following governance approval.</w:t>
      </w:r>
    </w:p>
    <w:p w14:paraId="69C7CD94" w14:textId="10E35607" w:rsidR="00305523" w:rsidRPr="00EA7495" w:rsidRDefault="00D61E65" w:rsidP="00E32575">
      <w:pPr>
        <w:jc w:val="both"/>
        <w:rPr>
          <w:color w:val="EE0000"/>
        </w:rPr>
      </w:pPr>
      <w:r w:rsidRPr="00735DF2">
        <w:rPr>
          <w:b/>
          <w:bCs/>
        </w:rPr>
        <w:t>Important:</w:t>
      </w:r>
      <w:r w:rsidRPr="00735DF2">
        <w:t xml:space="preserve"> </w:t>
      </w:r>
      <w:r w:rsidR="00305523" w:rsidRPr="00EA7495">
        <w:rPr>
          <w:i/>
          <w:iCs/>
          <w:color w:val="EE0000"/>
        </w:rPr>
        <w:t xml:space="preserve">Approval is granted only for the specified cohort criteria and does not permit unrestricted use of the </w:t>
      </w:r>
      <w:r w:rsidR="003A5308">
        <w:rPr>
          <w:i/>
          <w:iCs/>
          <w:color w:val="EE0000"/>
        </w:rPr>
        <w:t>dashboard</w:t>
      </w:r>
      <w:r w:rsidR="00305523" w:rsidRPr="00EA7495">
        <w:rPr>
          <w:i/>
          <w:iCs/>
          <w:color w:val="EE0000"/>
        </w:rPr>
        <w:t>.</w:t>
      </w:r>
    </w:p>
    <w:p w14:paraId="3126985C" w14:textId="613336DB" w:rsidR="00305523" w:rsidRPr="00735DF2" w:rsidRDefault="00305523" w:rsidP="00E32575">
      <w:pPr>
        <w:jc w:val="both"/>
      </w:pPr>
      <w:r w:rsidRPr="00735DF2">
        <w:rPr>
          <w:b/>
          <w:bCs/>
        </w:rPr>
        <w:t>Important:</w:t>
      </w:r>
      <w:r w:rsidRPr="00735DF2">
        <w:t xml:space="preserve"> In all instances, services must recognise that they are acting as an </w:t>
      </w:r>
      <w:r w:rsidRPr="00735DF2">
        <w:rPr>
          <w:i/>
          <w:iCs/>
        </w:rPr>
        <w:t>agent of the GP practice</w:t>
      </w:r>
      <w:r w:rsidR="007D648F">
        <w:rPr>
          <w:i/>
          <w:iCs/>
        </w:rPr>
        <w:t>, establishing a direct care relationship on behalf of the Practice</w:t>
      </w:r>
      <w:r w:rsidRPr="00735DF2">
        <w:t>. These are the GP’s patient lists, and practices must be:</w:t>
      </w:r>
    </w:p>
    <w:p w14:paraId="30AFC2FC" w14:textId="77777777" w:rsidR="00305523" w:rsidRPr="00735DF2" w:rsidRDefault="00305523" w:rsidP="00E32575">
      <w:pPr>
        <w:pStyle w:val="NoSpacing"/>
        <w:numPr>
          <w:ilvl w:val="0"/>
          <w:numId w:val="17"/>
        </w:numPr>
        <w:jc w:val="both"/>
      </w:pPr>
      <w:r w:rsidRPr="00735DF2">
        <w:t>Informed of any case-finding activity</w:t>
      </w:r>
    </w:p>
    <w:p w14:paraId="61D814E9" w14:textId="77777777" w:rsidR="00305523" w:rsidRPr="00735DF2" w:rsidRDefault="00305523" w:rsidP="00E32575">
      <w:pPr>
        <w:pStyle w:val="NoSpacing"/>
        <w:numPr>
          <w:ilvl w:val="0"/>
          <w:numId w:val="17"/>
        </w:numPr>
        <w:jc w:val="both"/>
      </w:pPr>
      <w:r w:rsidRPr="00735DF2">
        <w:t>In agreement with the approach</w:t>
      </w:r>
    </w:p>
    <w:p w14:paraId="39A726E8" w14:textId="77777777" w:rsidR="00305523" w:rsidRPr="00735DF2" w:rsidRDefault="00305523" w:rsidP="00E32575">
      <w:pPr>
        <w:pStyle w:val="NoSpacing"/>
        <w:numPr>
          <w:ilvl w:val="0"/>
          <w:numId w:val="17"/>
        </w:numPr>
        <w:jc w:val="both"/>
      </w:pPr>
      <w:r w:rsidRPr="00735DF2">
        <w:t>Consulted before any patient is contacted</w:t>
      </w:r>
    </w:p>
    <w:p w14:paraId="413D5A8E" w14:textId="0174DBC4" w:rsidR="00305523" w:rsidRPr="00305523" w:rsidRDefault="00305523" w:rsidP="00E32575">
      <w:pPr>
        <w:pStyle w:val="NoSpacing"/>
        <w:numPr>
          <w:ilvl w:val="0"/>
          <w:numId w:val="17"/>
        </w:numPr>
        <w:jc w:val="both"/>
      </w:pPr>
      <w:r w:rsidRPr="00735DF2">
        <w:t>Provided with feedback through appropriate channels (e.g. EMIS, discharge letters)</w:t>
      </w:r>
    </w:p>
    <w:p w14:paraId="4BFD0FC0" w14:textId="77777777" w:rsidR="00305523" w:rsidRPr="00305523" w:rsidRDefault="00000000" w:rsidP="00E32575">
      <w:pPr>
        <w:jc w:val="both"/>
      </w:pPr>
      <w:r>
        <w:pict w14:anchorId="491E7D86">
          <v:rect id="_x0000_i1028" style="width:0;height:1.5pt" o:hralign="center" o:hrstd="t" o:hr="t" fillcolor="#a0a0a0" stroked="f"/>
        </w:pict>
      </w:r>
    </w:p>
    <w:p w14:paraId="46522638" w14:textId="77777777" w:rsidR="00305523" w:rsidRPr="00305523" w:rsidRDefault="00305523" w:rsidP="00E32575">
      <w:pPr>
        <w:pStyle w:val="Heading2"/>
        <w:jc w:val="both"/>
      </w:pPr>
      <w:r w:rsidRPr="00305523">
        <w:t>4. Training, Support &amp; Peer Learning</w:t>
      </w:r>
    </w:p>
    <w:p w14:paraId="58911AA5" w14:textId="6697C37C" w:rsidR="00305523" w:rsidRPr="00305523" w:rsidRDefault="00305523" w:rsidP="00E32575">
      <w:pPr>
        <w:jc w:val="both"/>
      </w:pPr>
      <w:r w:rsidRPr="00305523">
        <w:t xml:space="preserve">Training is available through </w:t>
      </w:r>
      <w:r w:rsidRPr="00D61E65">
        <w:t xml:space="preserve">the Data into Action Academy </w:t>
      </w:r>
      <w:r w:rsidR="00AC7AFC">
        <w:t xml:space="preserve">which </w:t>
      </w:r>
      <w:r w:rsidRPr="00D61E65">
        <w:t>provides a comprehensive three-month programme for professionals involved in service delivery across the Cheshire and Merseyside Integrated Care System. The Academy</w:t>
      </w:r>
      <w:r w:rsidRPr="00305523">
        <w:t xml:space="preserve"> includes:</w:t>
      </w:r>
    </w:p>
    <w:p w14:paraId="51B7FFC9" w14:textId="54F582B4" w:rsidR="00305523" w:rsidRPr="00305523" w:rsidRDefault="00305523" w:rsidP="00E32575">
      <w:pPr>
        <w:numPr>
          <w:ilvl w:val="0"/>
          <w:numId w:val="4"/>
        </w:numPr>
        <w:jc w:val="both"/>
      </w:pPr>
      <w:r>
        <w:t>V</w:t>
      </w:r>
      <w:r w:rsidRPr="00305523">
        <w:t>irtual workshops</w:t>
      </w:r>
    </w:p>
    <w:p w14:paraId="1ADCA5AD" w14:textId="0E55E8BB" w:rsidR="00305523" w:rsidRPr="00305523" w:rsidRDefault="00305523" w:rsidP="00E32575">
      <w:pPr>
        <w:numPr>
          <w:ilvl w:val="0"/>
          <w:numId w:val="4"/>
        </w:numPr>
        <w:jc w:val="both"/>
      </w:pPr>
      <w:r>
        <w:t>A</w:t>
      </w:r>
      <w:r w:rsidRPr="00305523">
        <w:t>ctive learning sets via Microsoft Teams</w:t>
      </w:r>
    </w:p>
    <w:p w14:paraId="1DCCA7A8" w14:textId="77777777" w:rsidR="00305523" w:rsidRPr="00305523" w:rsidRDefault="00305523" w:rsidP="00E32575">
      <w:pPr>
        <w:numPr>
          <w:ilvl w:val="0"/>
          <w:numId w:val="4"/>
        </w:numPr>
        <w:jc w:val="both"/>
      </w:pPr>
      <w:r w:rsidRPr="00305523">
        <w:t>CPD accreditation (10.5 points)</w:t>
      </w:r>
    </w:p>
    <w:p w14:paraId="4F488849" w14:textId="77777777" w:rsidR="00305523" w:rsidRPr="00305523" w:rsidRDefault="00305523" w:rsidP="0D5A100E">
      <w:pPr>
        <w:pStyle w:val="Heading3"/>
      </w:pPr>
      <w:r w:rsidRPr="00305523">
        <w:t>Peer Learning and Community Support</w:t>
      </w:r>
    </w:p>
    <w:p w14:paraId="2CA13176" w14:textId="744AFA51" w:rsidR="00305523" w:rsidRPr="00305523" w:rsidRDefault="00305523" w:rsidP="00E32575">
      <w:pPr>
        <w:jc w:val="both"/>
      </w:pPr>
      <w:r w:rsidRPr="00305523">
        <w:t>Services benefit from a collaborative learning environment where experiences and best practices are shared. Peer-to-peer support enhances effective tool use across services.</w:t>
      </w:r>
      <w:r w:rsidR="00CC0DCC">
        <w:t xml:space="preserve"> </w:t>
      </w:r>
      <w:r w:rsidR="006C79BC">
        <w:t xml:space="preserve">We have a number of services across C&amp;M who have adopted the use of these approaches who would be supportive of </w:t>
      </w:r>
      <w:r w:rsidR="006C79BC">
        <w:lastRenderedPageBreak/>
        <w:t>providing peer-to peer support</w:t>
      </w:r>
      <w:r w:rsidR="00CC0DCC">
        <w:t>, please contact us if you would like to know more about our peer support offer.</w:t>
      </w:r>
    </w:p>
    <w:p w14:paraId="3EF346A5" w14:textId="77777777" w:rsidR="00305523" w:rsidRPr="00305523" w:rsidRDefault="00305523" w:rsidP="0D5A100E">
      <w:pPr>
        <w:pStyle w:val="Heading3"/>
      </w:pPr>
      <w:r w:rsidRPr="00305523">
        <w:t>Additional Resources</w:t>
      </w:r>
    </w:p>
    <w:p w14:paraId="247EEF9F" w14:textId="482CD6C7" w:rsidR="00AC7AFC" w:rsidRDefault="00305523" w:rsidP="00E32575">
      <w:pPr>
        <w:jc w:val="both"/>
        <w:rPr>
          <w:b/>
          <w:bCs/>
        </w:rPr>
      </w:pPr>
      <w:r w:rsidRPr="00305523">
        <w:t>Short video demo</w:t>
      </w:r>
      <w:r w:rsidRPr="001A6616">
        <w:t>nstrations of tool functionalities are</w:t>
      </w:r>
      <w:r>
        <w:t xml:space="preserve"> available. For more information</w:t>
      </w:r>
      <w:r w:rsidR="6FC7E0B9">
        <w:t xml:space="preserve">, contact the Data into Action team. </w:t>
      </w:r>
    </w:p>
    <w:p w14:paraId="701429DA" w14:textId="3EEA8EF6" w:rsidR="00475A24" w:rsidRDefault="00475A24" w:rsidP="00E32575">
      <w:pPr>
        <w:jc w:val="both"/>
        <w:rPr>
          <w:b/>
          <w:bCs/>
        </w:rPr>
      </w:pPr>
      <w:r w:rsidRPr="002902BF">
        <w:t xml:space="preserve">Additional, bespoke training sessions and Masterclasses </w:t>
      </w:r>
      <w:r w:rsidR="008A027E">
        <w:t>may be able to</w:t>
      </w:r>
      <w:r w:rsidR="008A027E" w:rsidRPr="002902BF">
        <w:t xml:space="preserve"> </w:t>
      </w:r>
      <w:r w:rsidRPr="002902BF">
        <w:t xml:space="preserve">be arranged if </w:t>
      </w:r>
      <w:r w:rsidR="002902BF">
        <w:t xml:space="preserve">there is a requirement to help mobilise a project. </w:t>
      </w:r>
    </w:p>
    <w:p w14:paraId="4EEB54F7" w14:textId="436A3724" w:rsidR="00305523" w:rsidRPr="00305523" w:rsidRDefault="00000000" w:rsidP="00E32575">
      <w:pPr>
        <w:jc w:val="both"/>
      </w:pPr>
      <w:r>
        <w:pict w14:anchorId="31C24EAE">
          <v:rect id="_x0000_i1029" style="width:0;height:1.5pt" o:hralign="center" o:hrstd="t" o:hr="t" fillcolor="#a0a0a0" stroked="f"/>
        </w:pict>
      </w:r>
    </w:p>
    <w:p w14:paraId="35275761" w14:textId="77777777" w:rsidR="00305523" w:rsidRPr="00305523" w:rsidRDefault="00305523" w:rsidP="00E32575">
      <w:pPr>
        <w:pStyle w:val="Heading2"/>
        <w:jc w:val="both"/>
      </w:pPr>
      <w:r w:rsidRPr="00305523">
        <w:t>5. Referral Pathways &amp; Coding Requirements</w:t>
      </w:r>
    </w:p>
    <w:p w14:paraId="4150014D" w14:textId="77777777" w:rsidR="00305523" w:rsidRPr="00305523" w:rsidRDefault="00305523" w:rsidP="0D5A100E">
      <w:pPr>
        <w:pStyle w:val="Heading3"/>
      </w:pPr>
      <w:r w:rsidRPr="00305523">
        <w:t>Referral Approaches</w:t>
      </w:r>
    </w:p>
    <w:p w14:paraId="354EB161" w14:textId="77777777" w:rsidR="00305523" w:rsidRPr="00305523" w:rsidRDefault="00305523" w:rsidP="00E32575">
      <w:pPr>
        <w:jc w:val="both"/>
      </w:pPr>
      <w:r w:rsidRPr="00305523">
        <w:t>Two referral models are available based on data access:</w:t>
      </w:r>
    </w:p>
    <w:p w14:paraId="26F797E1" w14:textId="320AB4E4" w:rsidR="00305523" w:rsidRPr="001A6616" w:rsidRDefault="00305523" w:rsidP="00E32575">
      <w:pPr>
        <w:numPr>
          <w:ilvl w:val="0"/>
          <w:numId w:val="5"/>
        </w:numPr>
        <w:jc w:val="both"/>
      </w:pPr>
      <w:r w:rsidRPr="001A6616">
        <w:t>GP/PCN-Led Referral Approach: Services generate non-PID lists, and GP practices run the same search to create PID data for referrals.</w:t>
      </w:r>
      <w:r w:rsidR="00A2058D" w:rsidRPr="001A6616">
        <w:t xml:space="preserve"> </w:t>
      </w:r>
    </w:p>
    <w:p w14:paraId="038A4AB7" w14:textId="77777777" w:rsidR="00305523" w:rsidRPr="001A6616" w:rsidRDefault="00305523" w:rsidP="00E32575">
      <w:pPr>
        <w:numPr>
          <w:ilvl w:val="0"/>
          <w:numId w:val="5"/>
        </w:numPr>
        <w:jc w:val="both"/>
      </w:pPr>
      <w:r w:rsidRPr="001A6616">
        <w:t>Service-Led Referral Approach with PID Access: Services with PID access can directly identify, contact, and manage patients.</w:t>
      </w:r>
    </w:p>
    <w:p w14:paraId="34DF80B8" w14:textId="48E44F50" w:rsidR="00A2058D" w:rsidRPr="007D4342" w:rsidRDefault="00A2058D" w:rsidP="00E32575">
      <w:pPr>
        <w:jc w:val="both"/>
        <w:rPr>
          <w:i/>
          <w:iCs/>
        </w:rPr>
      </w:pPr>
      <w:r w:rsidRPr="007D4342">
        <w:rPr>
          <w:i/>
          <w:iCs/>
        </w:rPr>
        <w:t>In both approaches, services must still work closely with GP practices to ensure:</w:t>
      </w:r>
    </w:p>
    <w:p w14:paraId="7D59D574" w14:textId="77777777" w:rsidR="00A2058D" w:rsidRPr="00B46AD6" w:rsidRDefault="00A2058D" w:rsidP="00E32575">
      <w:pPr>
        <w:pStyle w:val="NoSpacing"/>
        <w:numPr>
          <w:ilvl w:val="0"/>
          <w:numId w:val="20"/>
        </w:numPr>
        <w:jc w:val="both"/>
      </w:pPr>
      <w:r w:rsidRPr="00B46AD6">
        <w:t>Patient eligibility and suitability is agreed upon.</w:t>
      </w:r>
    </w:p>
    <w:p w14:paraId="7A5EAF55" w14:textId="77777777" w:rsidR="00A2058D" w:rsidRPr="00B46AD6" w:rsidRDefault="00A2058D" w:rsidP="00E32575">
      <w:pPr>
        <w:pStyle w:val="NoSpacing"/>
        <w:numPr>
          <w:ilvl w:val="0"/>
          <w:numId w:val="20"/>
        </w:numPr>
        <w:jc w:val="both"/>
      </w:pPr>
      <w:r w:rsidRPr="00B46AD6">
        <w:t>GPs remain informed about all patient activity and outcomes.</w:t>
      </w:r>
    </w:p>
    <w:p w14:paraId="653C9012" w14:textId="77777777" w:rsidR="00A2058D" w:rsidRDefault="00A2058D" w:rsidP="00E32575">
      <w:pPr>
        <w:pStyle w:val="ListParagraph"/>
        <w:numPr>
          <w:ilvl w:val="0"/>
          <w:numId w:val="20"/>
        </w:numPr>
        <w:jc w:val="both"/>
      </w:pPr>
      <w:r w:rsidRPr="00B46AD6">
        <w:t>Feedback is routinely shared via EMIS entries, discharge summaries, or other established channels</w:t>
      </w:r>
    </w:p>
    <w:p w14:paraId="6B60F5E4" w14:textId="4093A032" w:rsidR="00305523" w:rsidRPr="00305523" w:rsidRDefault="00EA7495" w:rsidP="0D5A100E">
      <w:pPr>
        <w:pStyle w:val="Heading3"/>
      </w:pPr>
      <w:r>
        <w:t xml:space="preserve">Suggested </w:t>
      </w:r>
      <w:r w:rsidR="00305523" w:rsidRPr="00305523">
        <w:t>Coding Requirements</w:t>
      </w:r>
    </w:p>
    <w:p w14:paraId="01C61A80" w14:textId="03246282" w:rsidR="00305523" w:rsidRPr="00305523" w:rsidRDefault="00305523" w:rsidP="00E32575">
      <w:pPr>
        <w:jc w:val="both"/>
      </w:pPr>
      <w:r w:rsidRPr="00305523">
        <w:t xml:space="preserve">To support tracking and evaluation, services </w:t>
      </w:r>
      <w:r w:rsidR="00EA7495">
        <w:t>could</w:t>
      </w:r>
      <w:r w:rsidRPr="00305523">
        <w:t xml:space="preserve"> apply the following SNOMED codes in the patient’s GP record:</w:t>
      </w:r>
    </w:p>
    <w:p w14:paraId="27F35EEB" w14:textId="77777777" w:rsidR="00305523" w:rsidRPr="00305523" w:rsidRDefault="00305523" w:rsidP="001A6616">
      <w:pPr>
        <w:pStyle w:val="NoSpacing"/>
        <w:numPr>
          <w:ilvl w:val="0"/>
          <w:numId w:val="31"/>
        </w:numPr>
      </w:pPr>
      <w:r w:rsidRPr="00305523">
        <w:t>Proactive Care Ended</w:t>
      </w:r>
    </w:p>
    <w:p w14:paraId="3E8D1C9D" w14:textId="77777777" w:rsidR="00305523" w:rsidRPr="00305523" w:rsidRDefault="00305523" w:rsidP="001A6616">
      <w:pPr>
        <w:pStyle w:val="NoSpacing"/>
        <w:numPr>
          <w:ilvl w:val="0"/>
          <w:numId w:val="31"/>
        </w:numPr>
      </w:pPr>
      <w:r w:rsidRPr="00305523">
        <w:t>Targeted Proactive Care Needs Assessment</w:t>
      </w:r>
    </w:p>
    <w:p w14:paraId="468F8934" w14:textId="77777777" w:rsidR="00305523" w:rsidRPr="00305523" w:rsidRDefault="00305523" w:rsidP="001A6616">
      <w:pPr>
        <w:pStyle w:val="NoSpacing"/>
        <w:numPr>
          <w:ilvl w:val="0"/>
          <w:numId w:val="31"/>
        </w:numPr>
      </w:pPr>
      <w:r w:rsidRPr="00305523">
        <w:t>Targeted Proactive Care Needs Assessment Declined</w:t>
      </w:r>
    </w:p>
    <w:p w14:paraId="0B8F6563" w14:textId="77777777" w:rsidR="00305523" w:rsidRPr="00305523" w:rsidRDefault="00000000" w:rsidP="00E32575">
      <w:pPr>
        <w:jc w:val="both"/>
      </w:pPr>
      <w:r>
        <w:pict w14:anchorId="06512A41">
          <v:rect id="_x0000_i1030" style="width:0;height:1.5pt" o:hralign="center" o:hrstd="t" o:hr="t" fillcolor="#a0a0a0" stroked="f"/>
        </w:pict>
      </w:r>
    </w:p>
    <w:p w14:paraId="29B14068" w14:textId="26C0F472" w:rsidR="00A2058D" w:rsidRPr="00143171" w:rsidRDefault="00A2058D" w:rsidP="00E32575">
      <w:pPr>
        <w:jc w:val="both"/>
        <w:rPr>
          <w:b/>
          <w:bCs/>
        </w:rPr>
      </w:pPr>
      <w:r w:rsidRPr="00143171">
        <w:rPr>
          <w:b/>
          <w:bCs/>
        </w:rPr>
        <w:t>Sample Onboarding Checklist</w:t>
      </w:r>
    </w:p>
    <w:p w14:paraId="1000928D" w14:textId="77777777" w:rsidR="00A2058D" w:rsidRPr="00143171" w:rsidRDefault="00A2058D" w:rsidP="00E32575">
      <w:pPr>
        <w:numPr>
          <w:ilvl w:val="0"/>
          <w:numId w:val="21"/>
        </w:numPr>
        <w:jc w:val="both"/>
      </w:pPr>
      <w:r w:rsidRPr="00143171">
        <w:rPr>
          <w:rFonts w:ascii="Segoe UI Symbol" w:hAnsi="Segoe UI Symbol" w:cs="Segoe UI Symbol"/>
        </w:rPr>
        <w:t>☐</w:t>
      </w:r>
      <w:r w:rsidRPr="00143171">
        <w:t xml:space="preserve"> Confirm service criteria and readiness</w:t>
      </w:r>
    </w:p>
    <w:p w14:paraId="0102EA9E" w14:textId="77777777" w:rsidR="00A2058D" w:rsidRPr="00143171" w:rsidRDefault="00A2058D" w:rsidP="00E32575">
      <w:pPr>
        <w:numPr>
          <w:ilvl w:val="0"/>
          <w:numId w:val="21"/>
        </w:numPr>
        <w:jc w:val="both"/>
      </w:pPr>
      <w:r w:rsidRPr="00143171">
        <w:rPr>
          <w:rFonts w:ascii="Segoe UI Symbol" w:hAnsi="Segoe UI Symbol" w:cs="Segoe UI Symbol"/>
        </w:rPr>
        <w:t>☐</w:t>
      </w:r>
      <w:r w:rsidRPr="00143171">
        <w:t xml:space="preserve"> Access non-PID version of tool</w:t>
      </w:r>
    </w:p>
    <w:p w14:paraId="67EF5622" w14:textId="77777777" w:rsidR="00A2058D" w:rsidRPr="00143171" w:rsidRDefault="00A2058D" w:rsidP="00E32575">
      <w:pPr>
        <w:numPr>
          <w:ilvl w:val="0"/>
          <w:numId w:val="21"/>
        </w:numPr>
        <w:jc w:val="both"/>
      </w:pPr>
      <w:r w:rsidRPr="00143171">
        <w:rPr>
          <w:rFonts w:ascii="Segoe UI Symbol" w:hAnsi="Segoe UI Symbol" w:cs="Segoe UI Symbol"/>
        </w:rPr>
        <w:t>☐</w:t>
      </w:r>
      <w:r w:rsidRPr="00143171">
        <w:t xml:space="preserve"> Define and run search criteria</w:t>
      </w:r>
    </w:p>
    <w:p w14:paraId="63C85308" w14:textId="77777777" w:rsidR="00A2058D" w:rsidRPr="00143171" w:rsidRDefault="00A2058D" w:rsidP="00E32575">
      <w:pPr>
        <w:numPr>
          <w:ilvl w:val="0"/>
          <w:numId w:val="21"/>
        </w:numPr>
        <w:jc w:val="both"/>
      </w:pPr>
      <w:r w:rsidRPr="00143171">
        <w:rPr>
          <w:rFonts w:ascii="Segoe UI Symbol" w:hAnsi="Segoe UI Symbol" w:cs="Segoe UI Symbol"/>
        </w:rPr>
        <w:t>☐</w:t>
      </w:r>
      <w:r w:rsidRPr="00143171">
        <w:t xml:space="preserve"> Identify GP practice for collaboration</w:t>
      </w:r>
    </w:p>
    <w:p w14:paraId="172648CE" w14:textId="77777777" w:rsidR="00A2058D" w:rsidRPr="00143171" w:rsidRDefault="00A2058D" w:rsidP="00E32575">
      <w:pPr>
        <w:numPr>
          <w:ilvl w:val="0"/>
          <w:numId w:val="21"/>
        </w:numPr>
        <w:jc w:val="both"/>
      </w:pPr>
      <w:r w:rsidRPr="00143171">
        <w:rPr>
          <w:rFonts w:ascii="Segoe UI Symbol" w:hAnsi="Segoe UI Symbol" w:cs="Segoe UI Symbol"/>
        </w:rPr>
        <w:t>☐</w:t>
      </w:r>
      <w:r w:rsidRPr="00143171">
        <w:t xml:space="preserve"> Case manage initial cohort (e.g., 20–30 patients)</w:t>
      </w:r>
    </w:p>
    <w:p w14:paraId="32C3B3B8" w14:textId="77777777" w:rsidR="00A2058D" w:rsidRPr="00143171" w:rsidRDefault="00A2058D" w:rsidP="00E32575">
      <w:pPr>
        <w:numPr>
          <w:ilvl w:val="0"/>
          <w:numId w:val="21"/>
        </w:numPr>
        <w:jc w:val="both"/>
      </w:pPr>
      <w:r w:rsidRPr="00143171">
        <w:rPr>
          <w:rFonts w:ascii="Segoe UI Symbol" w:hAnsi="Segoe UI Symbol" w:cs="Segoe UI Symbol"/>
        </w:rPr>
        <w:lastRenderedPageBreak/>
        <w:t>☐</w:t>
      </w:r>
      <w:r w:rsidRPr="00143171">
        <w:t xml:space="preserve"> Capture outcomes and submit evaluation</w:t>
      </w:r>
    </w:p>
    <w:p w14:paraId="18D26C1E" w14:textId="77777777" w:rsidR="00A2058D" w:rsidRPr="00143171" w:rsidRDefault="00A2058D" w:rsidP="00E32575">
      <w:pPr>
        <w:numPr>
          <w:ilvl w:val="0"/>
          <w:numId w:val="21"/>
        </w:numPr>
        <w:jc w:val="both"/>
      </w:pPr>
      <w:r w:rsidRPr="00143171">
        <w:rPr>
          <w:rFonts w:ascii="Segoe UI Symbol" w:hAnsi="Segoe UI Symbol" w:cs="Segoe UI Symbol"/>
        </w:rPr>
        <w:t>☐</w:t>
      </w:r>
      <w:r w:rsidRPr="00143171">
        <w:t xml:space="preserve"> Apply for PID access (if needed)</w:t>
      </w:r>
    </w:p>
    <w:p w14:paraId="131F0FB2" w14:textId="56FE0470" w:rsidR="00965061" w:rsidRDefault="00A2058D" w:rsidP="00E32575">
      <w:pPr>
        <w:numPr>
          <w:ilvl w:val="0"/>
          <w:numId w:val="21"/>
        </w:numPr>
        <w:jc w:val="both"/>
      </w:pPr>
      <w:r w:rsidRPr="00143171">
        <w:rPr>
          <w:rFonts w:ascii="Segoe UI Symbol" w:hAnsi="Segoe UI Symbol" w:cs="Segoe UI Symbol"/>
        </w:rPr>
        <w:t>☐</w:t>
      </w:r>
      <w:r w:rsidRPr="00143171">
        <w:t xml:space="preserve"> Complete IG and approval documentation</w:t>
      </w:r>
    </w:p>
    <w:p w14:paraId="0544E3D5" w14:textId="77777777" w:rsidR="00A2058D" w:rsidRPr="00143171" w:rsidRDefault="00000000" w:rsidP="00E32575">
      <w:pPr>
        <w:jc w:val="both"/>
      </w:pPr>
      <w:r>
        <w:pict w14:anchorId="16ED0715">
          <v:rect id="_x0000_i1031" style="width:0;height:1.5pt" o:hralign="center" o:hrstd="t" o:hr="t" fillcolor="#a0a0a0" stroked="f"/>
        </w:pict>
      </w:r>
    </w:p>
    <w:p w14:paraId="3EE5187A" w14:textId="6E2032C8" w:rsidR="00A2058D" w:rsidRPr="00143171" w:rsidRDefault="00A2058D" w:rsidP="00E32575">
      <w:pPr>
        <w:jc w:val="both"/>
        <w:rPr>
          <w:b/>
          <w:bCs/>
        </w:rPr>
      </w:pPr>
      <w:r w:rsidRPr="00143171">
        <w:rPr>
          <w:b/>
          <w:bCs/>
        </w:rPr>
        <w:t>Training Materials</w:t>
      </w:r>
    </w:p>
    <w:p w14:paraId="75E8DFB3" w14:textId="77777777" w:rsidR="00A2058D" w:rsidRPr="00143171" w:rsidRDefault="00A2058D" w:rsidP="00E32575">
      <w:pPr>
        <w:pStyle w:val="NoSpacing"/>
        <w:numPr>
          <w:ilvl w:val="0"/>
          <w:numId w:val="26"/>
        </w:numPr>
        <w:jc w:val="both"/>
      </w:pPr>
      <w:r w:rsidRPr="00143171">
        <w:t>Video demos for case finding and tool navigation</w:t>
      </w:r>
    </w:p>
    <w:p w14:paraId="01DADF00" w14:textId="77777777" w:rsidR="00A2058D" w:rsidRPr="00143171" w:rsidRDefault="00A2058D" w:rsidP="00E32575">
      <w:pPr>
        <w:pStyle w:val="NoSpacing"/>
        <w:numPr>
          <w:ilvl w:val="0"/>
          <w:numId w:val="26"/>
        </w:numPr>
        <w:jc w:val="both"/>
      </w:pPr>
      <w:proofErr w:type="gramStart"/>
      <w:r w:rsidRPr="00143171">
        <w:t>Quick-start</w:t>
      </w:r>
      <w:proofErr w:type="gramEnd"/>
      <w:r w:rsidRPr="00143171">
        <w:t xml:space="preserve"> guides for new users</w:t>
      </w:r>
    </w:p>
    <w:p w14:paraId="3E03B569" w14:textId="77777777" w:rsidR="00A2058D" w:rsidRPr="00767223" w:rsidRDefault="00A2058D" w:rsidP="00E32575">
      <w:pPr>
        <w:pStyle w:val="NoSpacing"/>
        <w:numPr>
          <w:ilvl w:val="0"/>
          <w:numId w:val="26"/>
        </w:numPr>
        <w:jc w:val="both"/>
      </w:pPr>
      <w:r w:rsidRPr="00143171">
        <w:t xml:space="preserve">Case </w:t>
      </w:r>
      <w:r w:rsidRPr="00767223">
        <w:t>study examples from other services</w:t>
      </w:r>
    </w:p>
    <w:p w14:paraId="2F53417B" w14:textId="496C7CBA" w:rsidR="00A2058D" w:rsidRPr="00143171" w:rsidRDefault="008A027E" w:rsidP="00C55E30">
      <w:pPr>
        <w:pStyle w:val="NoSpacing"/>
        <w:numPr>
          <w:ilvl w:val="0"/>
          <w:numId w:val="26"/>
        </w:numPr>
      </w:pPr>
      <w:r>
        <w:t xml:space="preserve">Information on the </w:t>
      </w:r>
      <w:r w:rsidR="00A2058D" w:rsidRPr="00767223">
        <w:t xml:space="preserve">Data into Action </w:t>
      </w:r>
      <w:r>
        <w:t>Population Health Management Academy:</w:t>
      </w:r>
      <w:r w:rsidR="00C55E30">
        <w:t xml:space="preserve"> </w:t>
      </w:r>
      <w:hyperlink r:id="rId15">
        <w:r w:rsidRPr="0D5A100E">
          <w:rPr>
            <w:rStyle w:val="Hyperlink"/>
          </w:rPr>
          <w:t>Data into Action</w:t>
        </w:r>
      </w:hyperlink>
    </w:p>
    <w:p w14:paraId="2803D856" w14:textId="77777777" w:rsidR="00A2058D" w:rsidRPr="00143171" w:rsidRDefault="00000000" w:rsidP="00E32575">
      <w:pPr>
        <w:jc w:val="both"/>
      </w:pPr>
      <w:r>
        <w:pict w14:anchorId="1E357E8F">
          <v:rect id="_x0000_i1032" style="width:0;height:1.5pt" o:hralign="center" o:hrstd="t" o:hr="t" fillcolor="#a0a0a0" stroked="f"/>
        </w:pict>
      </w:r>
    </w:p>
    <w:p w14:paraId="549B039A" w14:textId="77777777" w:rsidR="00557BFA" w:rsidRDefault="00A2058D" w:rsidP="0091648F">
      <w:pPr>
        <w:jc w:val="both"/>
        <w:rPr>
          <w:b/>
          <w:bCs/>
        </w:rPr>
      </w:pPr>
      <w:r w:rsidRPr="00143171">
        <w:rPr>
          <w:b/>
          <w:bCs/>
        </w:rPr>
        <w:t>Approval Forms/Templates</w:t>
      </w:r>
    </w:p>
    <w:p w14:paraId="25A4A902" w14:textId="45E3F0D5" w:rsidR="00D61E65" w:rsidRDefault="00D61E65" w:rsidP="0D5A100E">
      <w:pPr>
        <w:pStyle w:val="ListParagraph"/>
        <w:numPr>
          <w:ilvl w:val="0"/>
          <w:numId w:val="33"/>
        </w:numPr>
        <w:spacing w:after="120" w:line="60" w:lineRule="atLeast"/>
        <w:ind w:left="714" w:hanging="357"/>
        <w:jc w:val="both"/>
      </w:pPr>
      <w:r>
        <w:t xml:space="preserve">CIPHA </w:t>
      </w:r>
      <w:r w:rsidR="00767223">
        <w:t xml:space="preserve">User </w:t>
      </w:r>
      <w:r>
        <w:t xml:space="preserve">Access </w:t>
      </w:r>
      <w:r w:rsidR="00767223">
        <w:t xml:space="preserve">Request </w:t>
      </w:r>
      <w:r>
        <w:t>Form</w:t>
      </w:r>
      <w:r w:rsidRPr="00D61E65">
        <w:t xml:space="preserve"> </w:t>
      </w:r>
      <w:r w:rsidR="00767223">
        <w:t>(</w:t>
      </w:r>
      <w:r>
        <w:t xml:space="preserve">Non PID </w:t>
      </w:r>
      <w:r w:rsidR="00767223">
        <w:t>or</w:t>
      </w:r>
      <w:r>
        <w:t xml:space="preserve"> </w:t>
      </w:r>
      <w:r w:rsidRPr="00143171">
        <w:t>PID</w:t>
      </w:r>
      <w:r w:rsidR="00767223">
        <w:t>)</w:t>
      </w:r>
    </w:p>
    <w:p w14:paraId="78F17EC5" w14:textId="386AD4A8" w:rsidR="00D61E65" w:rsidRDefault="00A2058D" w:rsidP="0D5A100E">
      <w:pPr>
        <w:pStyle w:val="NoSpacing"/>
        <w:numPr>
          <w:ilvl w:val="0"/>
          <w:numId w:val="33"/>
        </w:numPr>
        <w:spacing w:after="120" w:line="60" w:lineRule="atLeast"/>
        <w:jc w:val="both"/>
      </w:pPr>
      <w:r w:rsidRPr="00143171">
        <w:t xml:space="preserve">DAAG &amp; LMC </w:t>
      </w:r>
      <w:r w:rsidR="00D61E65">
        <w:t xml:space="preserve">Data Access </w:t>
      </w:r>
      <w:r w:rsidR="00767223">
        <w:t>Policy</w:t>
      </w:r>
      <w:r w:rsidRPr="00143171">
        <w:t xml:space="preserve"> Form</w:t>
      </w:r>
    </w:p>
    <w:p w14:paraId="17E0D632" w14:textId="7C54DBF1" w:rsidR="00E75EFB" w:rsidRDefault="00E75EFB" w:rsidP="0D5A100E">
      <w:pPr>
        <w:pStyle w:val="NoSpacing"/>
        <w:numPr>
          <w:ilvl w:val="0"/>
          <w:numId w:val="33"/>
        </w:numPr>
        <w:spacing w:after="120" w:line="60" w:lineRule="atLeast"/>
        <w:jc w:val="both"/>
      </w:pPr>
      <w:r w:rsidRPr="00E75EFB">
        <w:t>Data Sharing &amp; Risk Stratification</w:t>
      </w:r>
      <w:r>
        <w:t xml:space="preserve"> </w:t>
      </w:r>
      <w:r w:rsidRPr="00E75EFB">
        <w:t>Guidelines</w:t>
      </w:r>
    </w:p>
    <w:p w14:paraId="3F24CAE4" w14:textId="3B1FC7CF" w:rsidR="00D61E65" w:rsidRDefault="00E75EFB" w:rsidP="0D5A100E">
      <w:pPr>
        <w:pStyle w:val="NoSpacing"/>
        <w:numPr>
          <w:ilvl w:val="0"/>
          <w:numId w:val="33"/>
        </w:numPr>
        <w:spacing w:after="120" w:line="60" w:lineRule="atLeast"/>
        <w:jc w:val="both"/>
      </w:pPr>
      <w:r>
        <w:t>Coding for Enhanced Case Finding Patients</w:t>
      </w:r>
    </w:p>
    <w:p w14:paraId="0A066DD7" w14:textId="397B99CE" w:rsidR="00D61E65" w:rsidRDefault="5C4B02F2" w:rsidP="0D5A100E">
      <w:pPr>
        <w:pStyle w:val="NoSpacing"/>
        <w:spacing w:after="120" w:line="60" w:lineRule="atLeast"/>
        <w:jc w:val="both"/>
      </w:pPr>
      <w:r>
        <w:t xml:space="preserve">For access to the above documents, contact the Data Into Action team. </w:t>
      </w:r>
    </w:p>
    <w:sectPr w:rsidR="00D61E65" w:rsidSect="0091648F">
      <w:headerReference w:type="default" r:id="rId16"/>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36BAD" w14:textId="77777777" w:rsidR="00AB7D49" w:rsidRDefault="00AB7D49" w:rsidP="003C337D">
      <w:pPr>
        <w:spacing w:after="0" w:line="240" w:lineRule="auto"/>
      </w:pPr>
      <w:r>
        <w:separator/>
      </w:r>
    </w:p>
  </w:endnote>
  <w:endnote w:type="continuationSeparator" w:id="0">
    <w:p w14:paraId="1E56D3DE" w14:textId="77777777" w:rsidR="00AB7D49" w:rsidRDefault="00AB7D49" w:rsidP="003C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515C4" w14:textId="77777777" w:rsidR="00AB7D49" w:rsidRDefault="00AB7D49" w:rsidP="003C337D">
      <w:pPr>
        <w:spacing w:after="0" w:line="240" w:lineRule="auto"/>
      </w:pPr>
      <w:r>
        <w:separator/>
      </w:r>
    </w:p>
  </w:footnote>
  <w:footnote w:type="continuationSeparator" w:id="0">
    <w:p w14:paraId="1BB9F023" w14:textId="77777777" w:rsidR="00AB7D49" w:rsidRDefault="00AB7D49" w:rsidP="003C3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51BD" w14:textId="2575535E" w:rsidR="003C337D" w:rsidRDefault="003C337D" w:rsidP="003C337D">
    <w:pPr>
      <w:pStyle w:val="Header"/>
      <w:jc w:val="right"/>
    </w:pPr>
    <w:r w:rsidRPr="003C337D">
      <w:rPr>
        <w:noProof/>
      </w:rPr>
      <w:drawing>
        <wp:inline distT="0" distB="0" distL="0" distR="0" wp14:anchorId="1256E640" wp14:editId="210BF738">
          <wp:extent cx="2141406" cy="579170"/>
          <wp:effectExtent l="0" t="0" r="0" b="0"/>
          <wp:docPr id="143225768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04639" name="Picture 1" descr="A close-up of a logo&#10;&#10;AI-generated content may be incorrect."/>
                  <pic:cNvPicPr/>
                </pic:nvPicPr>
                <pic:blipFill>
                  <a:blip r:embed="rId1"/>
                  <a:stretch>
                    <a:fillRect/>
                  </a:stretch>
                </pic:blipFill>
                <pic:spPr>
                  <a:xfrm>
                    <a:off x="0" y="0"/>
                    <a:ext cx="2141406" cy="579170"/>
                  </a:xfrm>
                  <a:prstGeom prst="rect">
                    <a:avLst/>
                  </a:prstGeom>
                </pic:spPr>
              </pic:pic>
            </a:graphicData>
          </a:graphic>
        </wp:inline>
      </w:drawing>
    </w:r>
  </w:p>
  <w:p w14:paraId="08C894B1" w14:textId="77777777" w:rsidR="003C337D" w:rsidRDefault="003C3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2DC"/>
    <w:multiLevelType w:val="multilevel"/>
    <w:tmpl w:val="54E8D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F1CAC"/>
    <w:multiLevelType w:val="multilevel"/>
    <w:tmpl w:val="4556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27F1B"/>
    <w:multiLevelType w:val="multilevel"/>
    <w:tmpl w:val="24F8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F5168"/>
    <w:multiLevelType w:val="multilevel"/>
    <w:tmpl w:val="A2E82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95A99"/>
    <w:multiLevelType w:val="multilevel"/>
    <w:tmpl w:val="AF02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D6AA9"/>
    <w:multiLevelType w:val="hybridMultilevel"/>
    <w:tmpl w:val="2C1E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976C6"/>
    <w:multiLevelType w:val="multilevel"/>
    <w:tmpl w:val="A65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0369F"/>
    <w:multiLevelType w:val="multilevel"/>
    <w:tmpl w:val="4E9E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008F7"/>
    <w:multiLevelType w:val="multilevel"/>
    <w:tmpl w:val="443E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B4086"/>
    <w:multiLevelType w:val="hybridMultilevel"/>
    <w:tmpl w:val="115C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71B15"/>
    <w:multiLevelType w:val="hybridMultilevel"/>
    <w:tmpl w:val="6404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11CC6"/>
    <w:multiLevelType w:val="multilevel"/>
    <w:tmpl w:val="0A4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B321F"/>
    <w:multiLevelType w:val="multilevel"/>
    <w:tmpl w:val="F498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6684E"/>
    <w:multiLevelType w:val="hybridMultilevel"/>
    <w:tmpl w:val="9BB27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B22E1C"/>
    <w:multiLevelType w:val="multilevel"/>
    <w:tmpl w:val="3200B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9D0CFD"/>
    <w:multiLevelType w:val="hybridMultilevel"/>
    <w:tmpl w:val="CDF2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9021A"/>
    <w:multiLevelType w:val="multilevel"/>
    <w:tmpl w:val="A62C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74678"/>
    <w:multiLevelType w:val="multilevel"/>
    <w:tmpl w:val="3FD2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83CED"/>
    <w:multiLevelType w:val="multilevel"/>
    <w:tmpl w:val="3F60D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6A4DF7"/>
    <w:multiLevelType w:val="hybridMultilevel"/>
    <w:tmpl w:val="93E8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FE3F39"/>
    <w:multiLevelType w:val="multilevel"/>
    <w:tmpl w:val="675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A8263B"/>
    <w:multiLevelType w:val="hybridMultilevel"/>
    <w:tmpl w:val="9E80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D2DE5"/>
    <w:multiLevelType w:val="multilevel"/>
    <w:tmpl w:val="EE6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EC3779"/>
    <w:multiLevelType w:val="hybridMultilevel"/>
    <w:tmpl w:val="D60A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73542"/>
    <w:multiLevelType w:val="hybridMultilevel"/>
    <w:tmpl w:val="DF045F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360276"/>
    <w:multiLevelType w:val="hybridMultilevel"/>
    <w:tmpl w:val="198C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830D7F"/>
    <w:multiLevelType w:val="multilevel"/>
    <w:tmpl w:val="DBD0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3B607E"/>
    <w:multiLevelType w:val="multilevel"/>
    <w:tmpl w:val="08B2D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D7641B"/>
    <w:multiLevelType w:val="multilevel"/>
    <w:tmpl w:val="379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430692"/>
    <w:multiLevelType w:val="hybridMultilevel"/>
    <w:tmpl w:val="63A6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071A0"/>
    <w:multiLevelType w:val="multilevel"/>
    <w:tmpl w:val="B96C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E421C"/>
    <w:multiLevelType w:val="multilevel"/>
    <w:tmpl w:val="CCCA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A3791"/>
    <w:multiLevelType w:val="hybridMultilevel"/>
    <w:tmpl w:val="C7E42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3473766">
    <w:abstractNumId w:val="7"/>
  </w:num>
  <w:num w:numId="2" w16cid:durableId="271321454">
    <w:abstractNumId w:val="28"/>
  </w:num>
  <w:num w:numId="3" w16cid:durableId="900218722">
    <w:abstractNumId w:val="27"/>
  </w:num>
  <w:num w:numId="4" w16cid:durableId="1681547519">
    <w:abstractNumId w:val="16"/>
  </w:num>
  <w:num w:numId="5" w16cid:durableId="162014438">
    <w:abstractNumId w:val="18"/>
  </w:num>
  <w:num w:numId="6" w16cid:durableId="945231387">
    <w:abstractNumId w:val="17"/>
  </w:num>
  <w:num w:numId="7" w16cid:durableId="250553645">
    <w:abstractNumId w:val="14"/>
  </w:num>
  <w:num w:numId="8" w16cid:durableId="941691598">
    <w:abstractNumId w:val="26"/>
  </w:num>
  <w:num w:numId="9" w16cid:durableId="294220728">
    <w:abstractNumId w:val="2"/>
  </w:num>
  <w:num w:numId="10" w16cid:durableId="1903641623">
    <w:abstractNumId w:val="6"/>
  </w:num>
  <w:num w:numId="11" w16cid:durableId="145822088">
    <w:abstractNumId w:val="20"/>
  </w:num>
  <w:num w:numId="12" w16cid:durableId="43258560">
    <w:abstractNumId w:val="12"/>
  </w:num>
  <w:num w:numId="13" w16cid:durableId="2135097853">
    <w:abstractNumId w:val="4"/>
  </w:num>
  <w:num w:numId="14" w16cid:durableId="1495147628">
    <w:abstractNumId w:val="30"/>
  </w:num>
  <w:num w:numId="15" w16cid:durableId="188766595">
    <w:abstractNumId w:val="31"/>
  </w:num>
  <w:num w:numId="16" w16cid:durableId="1049569796">
    <w:abstractNumId w:val="0"/>
  </w:num>
  <w:num w:numId="17" w16cid:durableId="271329255">
    <w:abstractNumId w:val="32"/>
  </w:num>
  <w:num w:numId="18" w16cid:durableId="832331724">
    <w:abstractNumId w:val="19"/>
  </w:num>
  <w:num w:numId="19" w16cid:durableId="1010990279">
    <w:abstractNumId w:val="3"/>
  </w:num>
  <w:num w:numId="20" w16cid:durableId="1660232609">
    <w:abstractNumId w:val="5"/>
  </w:num>
  <w:num w:numId="21" w16cid:durableId="1169831425">
    <w:abstractNumId w:val="11"/>
  </w:num>
  <w:num w:numId="22" w16cid:durableId="104159885">
    <w:abstractNumId w:val="1"/>
  </w:num>
  <w:num w:numId="23" w16cid:durableId="1006591976">
    <w:abstractNumId w:val="8"/>
  </w:num>
  <w:num w:numId="24" w16cid:durableId="1856648499">
    <w:abstractNumId w:val="9"/>
  </w:num>
  <w:num w:numId="25" w16cid:durableId="903174646">
    <w:abstractNumId w:val="25"/>
  </w:num>
  <w:num w:numId="26" w16cid:durableId="1325546184">
    <w:abstractNumId w:val="21"/>
  </w:num>
  <w:num w:numId="27" w16cid:durableId="2081096459">
    <w:abstractNumId w:val="24"/>
  </w:num>
  <w:num w:numId="28" w16cid:durableId="1386492021">
    <w:abstractNumId w:val="10"/>
  </w:num>
  <w:num w:numId="29" w16cid:durableId="244842791">
    <w:abstractNumId w:val="22"/>
  </w:num>
  <w:num w:numId="30" w16cid:durableId="1869219768">
    <w:abstractNumId w:val="15"/>
  </w:num>
  <w:num w:numId="31" w16cid:durableId="1619024330">
    <w:abstractNumId w:val="29"/>
  </w:num>
  <w:num w:numId="32" w16cid:durableId="1730155702">
    <w:abstractNumId w:val="13"/>
  </w:num>
  <w:num w:numId="33" w16cid:durableId="11031162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23"/>
    <w:rsid w:val="00001992"/>
    <w:rsid w:val="00007CC4"/>
    <w:rsid w:val="00012488"/>
    <w:rsid w:val="00013613"/>
    <w:rsid w:val="0001434F"/>
    <w:rsid w:val="00021C51"/>
    <w:rsid w:val="00026643"/>
    <w:rsid w:val="00041B81"/>
    <w:rsid w:val="00057762"/>
    <w:rsid w:val="000606FF"/>
    <w:rsid w:val="00060F42"/>
    <w:rsid w:val="0009387A"/>
    <w:rsid w:val="000A021A"/>
    <w:rsid w:val="000A3F0D"/>
    <w:rsid w:val="000B1BA0"/>
    <w:rsid w:val="000B6E5B"/>
    <w:rsid w:val="000C6082"/>
    <w:rsid w:val="001357DB"/>
    <w:rsid w:val="001A6616"/>
    <w:rsid w:val="001A7F04"/>
    <w:rsid w:val="001C0CDA"/>
    <w:rsid w:val="001E1057"/>
    <w:rsid w:val="00202695"/>
    <w:rsid w:val="00203634"/>
    <w:rsid w:val="002075E7"/>
    <w:rsid w:val="002092B3"/>
    <w:rsid w:val="00212ABC"/>
    <w:rsid w:val="00216B11"/>
    <w:rsid w:val="00232A22"/>
    <w:rsid w:val="002336FA"/>
    <w:rsid w:val="00266F4B"/>
    <w:rsid w:val="00270062"/>
    <w:rsid w:val="002902BF"/>
    <w:rsid w:val="002949F6"/>
    <w:rsid w:val="002A3024"/>
    <w:rsid w:val="002B34DF"/>
    <w:rsid w:val="002B6405"/>
    <w:rsid w:val="002C1CA7"/>
    <w:rsid w:val="00305523"/>
    <w:rsid w:val="00321407"/>
    <w:rsid w:val="003247D9"/>
    <w:rsid w:val="0032684A"/>
    <w:rsid w:val="00330750"/>
    <w:rsid w:val="00335DFB"/>
    <w:rsid w:val="00355136"/>
    <w:rsid w:val="00361407"/>
    <w:rsid w:val="00382E70"/>
    <w:rsid w:val="00392EE6"/>
    <w:rsid w:val="003A5308"/>
    <w:rsid w:val="003A79AF"/>
    <w:rsid w:val="003B4427"/>
    <w:rsid w:val="003C337D"/>
    <w:rsid w:val="003C43EE"/>
    <w:rsid w:val="003C6857"/>
    <w:rsid w:val="003D4108"/>
    <w:rsid w:val="003F4ABC"/>
    <w:rsid w:val="003F6817"/>
    <w:rsid w:val="00416D8E"/>
    <w:rsid w:val="004263A4"/>
    <w:rsid w:val="004263CC"/>
    <w:rsid w:val="00443FB2"/>
    <w:rsid w:val="00454127"/>
    <w:rsid w:val="00475A24"/>
    <w:rsid w:val="00482626"/>
    <w:rsid w:val="00486EF2"/>
    <w:rsid w:val="004C23D4"/>
    <w:rsid w:val="004F58C7"/>
    <w:rsid w:val="0051632D"/>
    <w:rsid w:val="00536D6E"/>
    <w:rsid w:val="00536ED5"/>
    <w:rsid w:val="00557BFA"/>
    <w:rsid w:val="00573A4E"/>
    <w:rsid w:val="005824A3"/>
    <w:rsid w:val="00595E27"/>
    <w:rsid w:val="005B3F6B"/>
    <w:rsid w:val="005C5B0F"/>
    <w:rsid w:val="005D2840"/>
    <w:rsid w:val="005D3ACE"/>
    <w:rsid w:val="005E290A"/>
    <w:rsid w:val="005E3612"/>
    <w:rsid w:val="006050DB"/>
    <w:rsid w:val="0062087F"/>
    <w:rsid w:val="0062780D"/>
    <w:rsid w:val="00635322"/>
    <w:rsid w:val="00657855"/>
    <w:rsid w:val="00665921"/>
    <w:rsid w:val="006921CD"/>
    <w:rsid w:val="006954CE"/>
    <w:rsid w:val="006A0C2D"/>
    <w:rsid w:val="006A4E99"/>
    <w:rsid w:val="006B6653"/>
    <w:rsid w:val="006B7890"/>
    <w:rsid w:val="006C222B"/>
    <w:rsid w:val="006C643A"/>
    <w:rsid w:val="006C79BC"/>
    <w:rsid w:val="006F1A71"/>
    <w:rsid w:val="0070478A"/>
    <w:rsid w:val="00706E94"/>
    <w:rsid w:val="00743350"/>
    <w:rsid w:val="007439D5"/>
    <w:rsid w:val="00751B1F"/>
    <w:rsid w:val="00767223"/>
    <w:rsid w:val="007A0F7B"/>
    <w:rsid w:val="007C02A2"/>
    <w:rsid w:val="007C485D"/>
    <w:rsid w:val="007C7736"/>
    <w:rsid w:val="007C7B00"/>
    <w:rsid w:val="007D4342"/>
    <w:rsid w:val="007D648F"/>
    <w:rsid w:val="007D6A1C"/>
    <w:rsid w:val="007E1199"/>
    <w:rsid w:val="007F08D5"/>
    <w:rsid w:val="007F2FD1"/>
    <w:rsid w:val="007F6C10"/>
    <w:rsid w:val="008274B9"/>
    <w:rsid w:val="00830228"/>
    <w:rsid w:val="00846D3A"/>
    <w:rsid w:val="00856F9A"/>
    <w:rsid w:val="0089789B"/>
    <w:rsid w:val="008A027E"/>
    <w:rsid w:val="008B599F"/>
    <w:rsid w:val="008E0DD5"/>
    <w:rsid w:val="008E0EED"/>
    <w:rsid w:val="008F09EA"/>
    <w:rsid w:val="00911DDC"/>
    <w:rsid w:val="0091648F"/>
    <w:rsid w:val="009406B9"/>
    <w:rsid w:val="00965061"/>
    <w:rsid w:val="00966D53"/>
    <w:rsid w:val="00977C57"/>
    <w:rsid w:val="00990110"/>
    <w:rsid w:val="009E3562"/>
    <w:rsid w:val="009E5B3B"/>
    <w:rsid w:val="00A2058D"/>
    <w:rsid w:val="00A41876"/>
    <w:rsid w:val="00A460AF"/>
    <w:rsid w:val="00A47219"/>
    <w:rsid w:val="00A7272E"/>
    <w:rsid w:val="00A91393"/>
    <w:rsid w:val="00AB45EE"/>
    <w:rsid w:val="00AB7D49"/>
    <w:rsid w:val="00AC7AFC"/>
    <w:rsid w:val="00AD2D1E"/>
    <w:rsid w:val="00AD3C5E"/>
    <w:rsid w:val="00AE3A1F"/>
    <w:rsid w:val="00AE59FE"/>
    <w:rsid w:val="00AF21D5"/>
    <w:rsid w:val="00B07BCA"/>
    <w:rsid w:val="00B124B9"/>
    <w:rsid w:val="00B2757F"/>
    <w:rsid w:val="00B372F7"/>
    <w:rsid w:val="00B73BE6"/>
    <w:rsid w:val="00B75861"/>
    <w:rsid w:val="00B924F6"/>
    <w:rsid w:val="00BA67F3"/>
    <w:rsid w:val="00BB3C2B"/>
    <w:rsid w:val="00BB7BA8"/>
    <w:rsid w:val="00BC04FA"/>
    <w:rsid w:val="00BE2926"/>
    <w:rsid w:val="00C16D7C"/>
    <w:rsid w:val="00C2044D"/>
    <w:rsid w:val="00C31558"/>
    <w:rsid w:val="00C348AA"/>
    <w:rsid w:val="00C55E30"/>
    <w:rsid w:val="00C708AF"/>
    <w:rsid w:val="00C86752"/>
    <w:rsid w:val="00CA3923"/>
    <w:rsid w:val="00CC0DCC"/>
    <w:rsid w:val="00CC6C17"/>
    <w:rsid w:val="00CE0508"/>
    <w:rsid w:val="00CE33B9"/>
    <w:rsid w:val="00CE4478"/>
    <w:rsid w:val="00CF7FC1"/>
    <w:rsid w:val="00D0572B"/>
    <w:rsid w:val="00D13EC7"/>
    <w:rsid w:val="00D335E6"/>
    <w:rsid w:val="00D4002E"/>
    <w:rsid w:val="00D51B40"/>
    <w:rsid w:val="00D61E65"/>
    <w:rsid w:val="00D652B7"/>
    <w:rsid w:val="00D719D4"/>
    <w:rsid w:val="00D731A1"/>
    <w:rsid w:val="00D95712"/>
    <w:rsid w:val="00DA0429"/>
    <w:rsid w:val="00DA6AFC"/>
    <w:rsid w:val="00DF1B19"/>
    <w:rsid w:val="00E068FE"/>
    <w:rsid w:val="00E14DED"/>
    <w:rsid w:val="00E15A7B"/>
    <w:rsid w:val="00E32575"/>
    <w:rsid w:val="00E478EE"/>
    <w:rsid w:val="00E530CC"/>
    <w:rsid w:val="00E6418D"/>
    <w:rsid w:val="00E70E7D"/>
    <w:rsid w:val="00E75EFB"/>
    <w:rsid w:val="00E872FE"/>
    <w:rsid w:val="00E975A0"/>
    <w:rsid w:val="00EA508B"/>
    <w:rsid w:val="00EA7495"/>
    <w:rsid w:val="00EB6B5D"/>
    <w:rsid w:val="00ED268F"/>
    <w:rsid w:val="00ED5E83"/>
    <w:rsid w:val="00EE5CFC"/>
    <w:rsid w:val="00EE788E"/>
    <w:rsid w:val="00F07543"/>
    <w:rsid w:val="00F27A59"/>
    <w:rsid w:val="00F27F20"/>
    <w:rsid w:val="00F54506"/>
    <w:rsid w:val="00FB0ED0"/>
    <w:rsid w:val="00FC5AAA"/>
    <w:rsid w:val="00FC6251"/>
    <w:rsid w:val="01316C40"/>
    <w:rsid w:val="0D5A100E"/>
    <w:rsid w:val="213DE914"/>
    <w:rsid w:val="269DAF62"/>
    <w:rsid w:val="2BE97691"/>
    <w:rsid w:val="2C02048D"/>
    <w:rsid w:val="351B7939"/>
    <w:rsid w:val="39D662B8"/>
    <w:rsid w:val="3E9AB5C6"/>
    <w:rsid w:val="40E845E7"/>
    <w:rsid w:val="43584044"/>
    <w:rsid w:val="456F4753"/>
    <w:rsid w:val="4BF3D95B"/>
    <w:rsid w:val="4FBD5916"/>
    <w:rsid w:val="558EDBBF"/>
    <w:rsid w:val="5C4B02F2"/>
    <w:rsid w:val="6FC7E0B9"/>
    <w:rsid w:val="735356BE"/>
    <w:rsid w:val="73F7C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D200"/>
  <w15:chartTrackingRefBased/>
  <w15:docId w15:val="{203CC634-7E6D-4F5D-A451-10F78A93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52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30552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30552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0552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0552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055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5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5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5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52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30552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0552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0552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0552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055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5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5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523"/>
    <w:rPr>
      <w:rFonts w:eastAsiaTheme="majorEastAsia" w:cstheme="majorBidi"/>
      <w:color w:val="272727" w:themeColor="text1" w:themeTint="D8"/>
    </w:rPr>
  </w:style>
  <w:style w:type="paragraph" w:styleId="Title">
    <w:name w:val="Title"/>
    <w:basedOn w:val="Normal"/>
    <w:next w:val="Normal"/>
    <w:link w:val="TitleChar"/>
    <w:uiPriority w:val="10"/>
    <w:qFormat/>
    <w:rsid w:val="00305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5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5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5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5523"/>
    <w:rPr>
      <w:i/>
      <w:iCs/>
      <w:color w:val="404040" w:themeColor="text1" w:themeTint="BF"/>
    </w:rPr>
  </w:style>
  <w:style w:type="paragraph" w:styleId="ListParagraph">
    <w:name w:val="List Paragraph"/>
    <w:basedOn w:val="Normal"/>
    <w:uiPriority w:val="34"/>
    <w:qFormat/>
    <w:rsid w:val="00305523"/>
    <w:pPr>
      <w:ind w:left="720"/>
      <w:contextualSpacing/>
    </w:pPr>
  </w:style>
  <w:style w:type="character" w:styleId="IntenseEmphasis">
    <w:name w:val="Intense Emphasis"/>
    <w:basedOn w:val="DefaultParagraphFont"/>
    <w:uiPriority w:val="21"/>
    <w:qFormat/>
    <w:rsid w:val="00305523"/>
    <w:rPr>
      <w:i/>
      <w:iCs/>
      <w:color w:val="365F91" w:themeColor="accent1" w:themeShade="BF"/>
    </w:rPr>
  </w:style>
  <w:style w:type="paragraph" w:styleId="IntenseQuote">
    <w:name w:val="Intense Quote"/>
    <w:basedOn w:val="Normal"/>
    <w:next w:val="Normal"/>
    <w:link w:val="IntenseQuoteChar"/>
    <w:uiPriority w:val="30"/>
    <w:qFormat/>
    <w:rsid w:val="003055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05523"/>
    <w:rPr>
      <w:i/>
      <w:iCs/>
      <w:color w:val="365F91" w:themeColor="accent1" w:themeShade="BF"/>
    </w:rPr>
  </w:style>
  <w:style w:type="character" w:styleId="IntenseReference">
    <w:name w:val="Intense Reference"/>
    <w:basedOn w:val="DefaultParagraphFont"/>
    <w:uiPriority w:val="32"/>
    <w:qFormat/>
    <w:rsid w:val="00305523"/>
    <w:rPr>
      <w:b/>
      <w:bCs/>
      <w:smallCaps/>
      <w:color w:val="365F91" w:themeColor="accent1" w:themeShade="BF"/>
      <w:spacing w:val="5"/>
    </w:rPr>
  </w:style>
  <w:style w:type="paragraph" w:styleId="NoSpacing">
    <w:name w:val="No Spacing"/>
    <w:uiPriority w:val="1"/>
    <w:qFormat/>
    <w:rsid w:val="00305523"/>
    <w:pPr>
      <w:spacing w:after="0" w:line="240" w:lineRule="auto"/>
    </w:pPr>
  </w:style>
  <w:style w:type="character" w:styleId="Hyperlink">
    <w:name w:val="Hyperlink"/>
    <w:basedOn w:val="DefaultParagraphFont"/>
    <w:uiPriority w:val="99"/>
    <w:unhideWhenUsed/>
    <w:rsid w:val="00A2058D"/>
    <w:rPr>
      <w:color w:val="0000FF" w:themeColor="hyperlink"/>
      <w:u w:val="single"/>
    </w:rPr>
  </w:style>
  <w:style w:type="character" w:styleId="UnresolvedMention">
    <w:name w:val="Unresolved Mention"/>
    <w:basedOn w:val="DefaultParagraphFont"/>
    <w:uiPriority w:val="99"/>
    <w:semiHidden/>
    <w:unhideWhenUsed/>
    <w:rsid w:val="00A2058D"/>
    <w:rPr>
      <w:color w:val="605E5C"/>
      <w:shd w:val="clear" w:color="auto" w:fill="E1DFDD"/>
    </w:rPr>
  </w:style>
  <w:style w:type="paragraph" w:styleId="Revision">
    <w:name w:val="Revision"/>
    <w:hidden/>
    <w:uiPriority w:val="99"/>
    <w:semiHidden/>
    <w:rsid w:val="002C1CA7"/>
    <w:pPr>
      <w:spacing w:after="0" w:line="240" w:lineRule="auto"/>
    </w:pPr>
  </w:style>
  <w:style w:type="character" w:styleId="CommentReference">
    <w:name w:val="annotation reference"/>
    <w:basedOn w:val="DefaultParagraphFont"/>
    <w:uiPriority w:val="99"/>
    <w:semiHidden/>
    <w:unhideWhenUsed/>
    <w:rsid w:val="00E14DED"/>
    <w:rPr>
      <w:sz w:val="16"/>
      <w:szCs w:val="16"/>
    </w:rPr>
  </w:style>
  <w:style w:type="paragraph" w:styleId="CommentText">
    <w:name w:val="annotation text"/>
    <w:basedOn w:val="Normal"/>
    <w:link w:val="CommentTextChar"/>
    <w:uiPriority w:val="99"/>
    <w:unhideWhenUsed/>
    <w:rsid w:val="00E14DED"/>
    <w:pPr>
      <w:spacing w:line="240" w:lineRule="auto"/>
    </w:pPr>
    <w:rPr>
      <w:sz w:val="20"/>
      <w:szCs w:val="20"/>
    </w:rPr>
  </w:style>
  <w:style w:type="character" w:customStyle="1" w:styleId="CommentTextChar">
    <w:name w:val="Comment Text Char"/>
    <w:basedOn w:val="DefaultParagraphFont"/>
    <w:link w:val="CommentText"/>
    <w:uiPriority w:val="99"/>
    <w:rsid w:val="00E14DED"/>
    <w:rPr>
      <w:sz w:val="20"/>
      <w:szCs w:val="20"/>
    </w:rPr>
  </w:style>
  <w:style w:type="paragraph" w:styleId="CommentSubject">
    <w:name w:val="annotation subject"/>
    <w:basedOn w:val="CommentText"/>
    <w:next w:val="CommentText"/>
    <w:link w:val="CommentSubjectChar"/>
    <w:uiPriority w:val="99"/>
    <w:semiHidden/>
    <w:unhideWhenUsed/>
    <w:rsid w:val="00E14DED"/>
    <w:rPr>
      <w:b/>
      <w:bCs/>
    </w:rPr>
  </w:style>
  <w:style w:type="character" w:customStyle="1" w:styleId="CommentSubjectChar">
    <w:name w:val="Comment Subject Char"/>
    <w:basedOn w:val="CommentTextChar"/>
    <w:link w:val="CommentSubject"/>
    <w:uiPriority w:val="99"/>
    <w:semiHidden/>
    <w:rsid w:val="00E14DED"/>
    <w:rPr>
      <w:b/>
      <w:bCs/>
      <w:sz w:val="20"/>
      <w:szCs w:val="20"/>
    </w:rPr>
  </w:style>
  <w:style w:type="paragraph" w:styleId="Header">
    <w:name w:val="header"/>
    <w:basedOn w:val="Normal"/>
    <w:link w:val="HeaderChar"/>
    <w:uiPriority w:val="99"/>
    <w:unhideWhenUsed/>
    <w:rsid w:val="003C3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37D"/>
  </w:style>
  <w:style w:type="paragraph" w:styleId="Footer">
    <w:name w:val="footer"/>
    <w:basedOn w:val="Normal"/>
    <w:link w:val="FooterChar"/>
    <w:uiPriority w:val="99"/>
    <w:unhideWhenUsed/>
    <w:rsid w:val="003C3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60923">
      <w:bodyDiv w:val="1"/>
      <w:marLeft w:val="0"/>
      <w:marRight w:val="0"/>
      <w:marTop w:val="0"/>
      <w:marBottom w:val="0"/>
      <w:divBdr>
        <w:top w:val="none" w:sz="0" w:space="0" w:color="auto"/>
        <w:left w:val="none" w:sz="0" w:space="0" w:color="auto"/>
        <w:bottom w:val="none" w:sz="0" w:space="0" w:color="auto"/>
        <w:right w:val="none" w:sz="0" w:space="0" w:color="auto"/>
      </w:divBdr>
    </w:div>
    <w:div w:id="364259891">
      <w:bodyDiv w:val="1"/>
      <w:marLeft w:val="0"/>
      <w:marRight w:val="0"/>
      <w:marTop w:val="0"/>
      <w:marBottom w:val="0"/>
      <w:divBdr>
        <w:top w:val="none" w:sz="0" w:space="0" w:color="auto"/>
        <w:left w:val="none" w:sz="0" w:space="0" w:color="auto"/>
        <w:bottom w:val="none" w:sz="0" w:space="0" w:color="auto"/>
        <w:right w:val="none" w:sz="0" w:space="0" w:color="auto"/>
      </w:divBdr>
    </w:div>
    <w:div w:id="411977166">
      <w:bodyDiv w:val="1"/>
      <w:marLeft w:val="0"/>
      <w:marRight w:val="0"/>
      <w:marTop w:val="0"/>
      <w:marBottom w:val="0"/>
      <w:divBdr>
        <w:top w:val="none" w:sz="0" w:space="0" w:color="auto"/>
        <w:left w:val="none" w:sz="0" w:space="0" w:color="auto"/>
        <w:bottom w:val="none" w:sz="0" w:space="0" w:color="auto"/>
        <w:right w:val="none" w:sz="0" w:space="0" w:color="auto"/>
      </w:divBdr>
    </w:div>
    <w:div w:id="661662016">
      <w:bodyDiv w:val="1"/>
      <w:marLeft w:val="0"/>
      <w:marRight w:val="0"/>
      <w:marTop w:val="0"/>
      <w:marBottom w:val="0"/>
      <w:divBdr>
        <w:top w:val="none" w:sz="0" w:space="0" w:color="auto"/>
        <w:left w:val="none" w:sz="0" w:space="0" w:color="auto"/>
        <w:bottom w:val="none" w:sz="0" w:space="0" w:color="auto"/>
        <w:right w:val="none" w:sz="0" w:space="0" w:color="auto"/>
      </w:divBdr>
    </w:div>
    <w:div w:id="1022317601">
      <w:bodyDiv w:val="1"/>
      <w:marLeft w:val="0"/>
      <w:marRight w:val="0"/>
      <w:marTop w:val="0"/>
      <w:marBottom w:val="0"/>
      <w:divBdr>
        <w:top w:val="none" w:sz="0" w:space="0" w:color="auto"/>
        <w:left w:val="none" w:sz="0" w:space="0" w:color="auto"/>
        <w:bottom w:val="none" w:sz="0" w:space="0" w:color="auto"/>
        <w:right w:val="none" w:sz="0" w:space="0" w:color="auto"/>
      </w:divBdr>
    </w:div>
    <w:div w:id="1296175028">
      <w:bodyDiv w:val="1"/>
      <w:marLeft w:val="0"/>
      <w:marRight w:val="0"/>
      <w:marTop w:val="0"/>
      <w:marBottom w:val="0"/>
      <w:divBdr>
        <w:top w:val="none" w:sz="0" w:space="0" w:color="auto"/>
        <w:left w:val="none" w:sz="0" w:space="0" w:color="auto"/>
        <w:bottom w:val="none" w:sz="0" w:space="0" w:color="auto"/>
        <w:right w:val="none" w:sz="0" w:space="0" w:color="auto"/>
      </w:divBdr>
    </w:div>
    <w:div w:id="1877082586">
      <w:bodyDiv w:val="1"/>
      <w:marLeft w:val="0"/>
      <w:marRight w:val="0"/>
      <w:marTop w:val="0"/>
      <w:marBottom w:val="0"/>
      <w:divBdr>
        <w:top w:val="none" w:sz="0" w:space="0" w:color="auto"/>
        <w:left w:val="none" w:sz="0" w:space="0" w:color="auto"/>
        <w:bottom w:val="none" w:sz="0" w:space="0" w:color="auto"/>
        <w:right w:val="none" w:sz="0" w:space="0" w:color="auto"/>
      </w:divBdr>
    </w:div>
    <w:div w:id="18976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ipha.support@midmerseyda.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intoaction@cheshireandmerseyside.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pha.support@midmerseyda.nhs.uk" TargetMode="External"/><Relationship Id="rId5" Type="http://schemas.openxmlformats.org/officeDocument/2006/relationships/styles" Target="styles.xml"/><Relationship Id="rId15" Type="http://schemas.openxmlformats.org/officeDocument/2006/relationships/hyperlink" Target="https://dataintoaction.cheshireandmerseyside.nhs.uk/academy/" TargetMode="External"/><Relationship Id="rId10" Type="http://schemas.openxmlformats.org/officeDocument/2006/relationships/hyperlink" Target="mailto:dataintoaction@cheshireandmerseysid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intoaction@cheshireandmerseyside.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4271941A4A146A4BFD9E2DF010D85" ma:contentTypeVersion="14" ma:contentTypeDescription="Create a new document." ma:contentTypeScope="" ma:versionID="598305f71b6288af36893925e80d79f5">
  <xsd:schema xmlns:xsd="http://www.w3.org/2001/XMLSchema" xmlns:xs="http://www.w3.org/2001/XMLSchema" xmlns:p="http://schemas.microsoft.com/office/2006/metadata/properties" xmlns:ns2="529f61a6-5eb1-4859-9260-76a09b035d6f" xmlns:ns3="9132c6f8-ef72-4c62-a098-b07463766861" targetNamespace="http://schemas.microsoft.com/office/2006/metadata/properties" ma:root="true" ma:fieldsID="114674b5d962741f16c017f13aec51e7" ns2:_="" ns3:_="">
    <xsd:import namespace="529f61a6-5eb1-4859-9260-76a09b035d6f"/>
    <xsd:import namespace="9132c6f8-ef72-4c62-a098-b074637668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f61a6-5eb1-4859-9260-76a09b035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2c6f8-ef72-4c62-a098-b074637668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4ffdbf-86ee-4648-a1f0-e3a86d73e7e0}" ma:internalName="TaxCatchAll" ma:showField="CatchAllData" ma:web="9132c6f8-ef72-4c62-a098-b07463766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9f61a6-5eb1-4859-9260-76a09b035d6f">
      <Terms xmlns="http://schemas.microsoft.com/office/infopath/2007/PartnerControls"/>
    </lcf76f155ced4ddcb4097134ff3c332f>
    <TaxCatchAll xmlns="9132c6f8-ef72-4c62-a098-b07463766861" xsi:nil="true"/>
  </documentManagement>
</p:properties>
</file>

<file path=customXml/itemProps1.xml><?xml version="1.0" encoding="utf-8"?>
<ds:datastoreItem xmlns:ds="http://schemas.openxmlformats.org/officeDocument/2006/customXml" ds:itemID="{1A258AFA-DEED-4941-9223-E37E74F33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f61a6-5eb1-4859-9260-76a09b035d6f"/>
    <ds:schemaRef ds:uri="9132c6f8-ef72-4c62-a098-b07463766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CE806-31D0-47D7-9525-9C8C92DF5F2C}">
  <ds:schemaRefs>
    <ds:schemaRef ds:uri="http://schemas.microsoft.com/sharepoint/v3/contenttype/forms"/>
  </ds:schemaRefs>
</ds:datastoreItem>
</file>

<file path=customXml/itemProps3.xml><?xml version="1.0" encoding="utf-8"?>
<ds:datastoreItem xmlns:ds="http://schemas.openxmlformats.org/officeDocument/2006/customXml" ds:itemID="{6E99500F-4572-4D86-AFDF-3A7ACA118C15}">
  <ds:schemaRefs>
    <ds:schemaRef ds:uri="http://schemas.microsoft.com/office/2006/metadata/properties"/>
    <ds:schemaRef ds:uri="http://schemas.microsoft.com/office/infopath/2007/PartnerControls"/>
    <ds:schemaRef ds:uri="529f61a6-5eb1-4859-9260-76a09b035d6f"/>
    <ds:schemaRef ds:uri="9132c6f8-ef72-4c62-a098-b0746376686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Mannhart</dc:creator>
  <cp:keywords/>
  <dc:description/>
  <cp:lastModifiedBy>POWERS, Sophie (NHS ARDEN AND GREATER EAST MIDLANDS COMMISSIONING SUPPORT UNIT)</cp:lastModifiedBy>
  <cp:revision>2</cp:revision>
  <dcterms:created xsi:type="dcterms:W3CDTF">2025-06-20T13:57:00Z</dcterms:created>
  <dcterms:modified xsi:type="dcterms:W3CDTF">2025-06-20T13:57:00Z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2025-04-24T11:34:34Z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18ebf3bb-6fcf-49af-94d4-5c5713578f20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0x010100A1A4271941A4A146A4BFD9E2DF010D85</vt:lpwstr>
  </property>
  <property fmtid="{D5CDD505-2E9C-101B-9397-08002B2CF9AE}" pid="11" name="MediaServiceImageTags">
    <vt:lpwstr/>
  </property>
</Properties>
</file>